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5D5BA" w14:textId="77777777" w:rsidR="00815D37" w:rsidRDefault="00815D37" w:rsidP="00815D37">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14:paraId="5CEA34BA" w14:textId="77777777" w:rsidR="00A223B1" w:rsidRDefault="00A223B1" w:rsidP="00815D37">
      <w:pPr>
        <w:spacing w:after="0"/>
        <w:jc w:val="center"/>
        <w:rPr>
          <w:b/>
          <w:bCs/>
          <w:sz w:val="36"/>
          <w:szCs w:val="36"/>
        </w:rPr>
      </w:pPr>
      <w:r w:rsidRPr="001453D6">
        <w:rPr>
          <w:b/>
          <w:bCs/>
          <w:sz w:val="36"/>
          <w:szCs w:val="36"/>
        </w:rPr>
        <w:t xml:space="preserve">6° RAPPORTO GIMBE </w:t>
      </w:r>
    </w:p>
    <w:p w14:paraId="57B53AB4" w14:textId="41F4033B" w:rsidR="00815D37" w:rsidRDefault="00815D37" w:rsidP="00A35813">
      <w:pPr>
        <w:spacing w:after="0"/>
        <w:jc w:val="center"/>
        <w:rPr>
          <w:b/>
          <w:bCs/>
          <w:sz w:val="36"/>
          <w:szCs w:val="36"/>
        </w:rPr>
      </w:pPr>
      <w:r>
        <w:rPr>
          <w:b/>
          <w:bCs/>
          <w:sz w:val="36"/>
          <w:szCs w:val="36"/>
        </w:rPr>
        <w:t xml:space="preserve">SERVIZIO SANITARIO NAZIONALE AL </w:t>
      </w:r>
      <w:r w:rsidRPr="00AD7473">
        <w:rPr>
          <w:b/>
          <w:bCs/>
          <w:sz w:val="36"/>
          <w:szCs w:val="36"/>
        </w:rPr>
        <w:t>CAPOLINEA:</w:t>
      </w:r>
      <w:r>
        <w:rPr>
          <w:b/>
          <w:bCs/>
          <w:sz w:val="36"/>
          <w:szCs w:val="36"/>
        </w:rPr>
        <w:t xml:space="preserve"> COMPROMESSO IL DIRITTO ALLA TUTELA DELLA SALUTE.</w:t>
      </w:r>
    </w:p>
    <w:p w14:paraId="4941A223" w14:textId="078E5B15" w:rsidR="00A223B1" w:rsidRPr="001453D6" w:rsidRDefault="001C0EFC" w:rsidP="00614368">
      <w:pPr>
        <w:jc w:val="center"/>
        <w:rPr>
          <w:b/>
          <w:bCs/>
          <w:sz w:val="36"/>
          <w:szCs w:val="36"/>
        </w:rPr>
      </w:pPr>
      <w:r>
        <w:rPr>
          <w:b/>
          <w:bCs/>
          <w:sz w:val="36"/>
          <w:szCs w:val="36"/>
        </w:rPr>
        <w:t xml:space="preserve">SPESA PUBBLICA PRO-CAPITE: IL </w:t>
      </w:r>
      <w:r w:rsidR="00A223B1">
        <w:rPr>
          <w:b/>
          <w:bCs/>
          <w:sz w:val="36"/>
          <w:szCs w:val="36"/>
        </w:rPr>
        <w:t>GAP</w:t>
      </w:r>
      <w:r w:rsidRPr="00A54C2F">
        <w:rPr>
          <w:b/>
          <w:bCs/>
          <w:sz w:val="36"/>
          <w:szCs w:val="36"/>
        </w:rPr>
        <w:t xml:space="preserve"> </w:t>
      </w:r>
      <w:r>
        <w:rPr>
          <w:b/>
          <w:bCs/>
          <w:sz w:val="36"/>
          <w:szCs w:val="36"/>
        </w:rPr>
        <w:t xml:space="preserve">CON LA MEDIA DEI PAESI EUROPEI È DI </w:t>
      </w:r>
      <w:r w:rsidRPr="00A54C2F">
        <w:rPr>
          <w:b/>
          <w:bCs/>
          <w:sz w:val="36"/>
          <w:szCs w:val="36"/>
        </w:rPr>
        <w:t>€ 48,8 MILIARDI</w:t>
      </w:r>
      <w:r w:rsidR="00FA1442">
        <w:rPr>
          <w:b/>
          <w:bCs/>
          <w:sz w:val="36"/>
          <w:szCs w:val="36"/>
        </w:rPr>
        <w:t>.</w:t>
      </w:r>
      <w:r w:rsidR="00614368">
        <w:rPr>
          <w:b/>
          <w:bCs/>
          <w:sz w:val="36"/>
          <w:szCs w:val="36"/>
        </w:rPr>
        <w:br/>
        <w:t>LE ENORMI DISEGUAGLIANZE NORD-SUD SARANNO LEGITTIMATE DALL’AUTONOMIA DIFFERENZIATA</w:t>
      </w:r>
      <w:r w:rsidR="00FA1442">
        <w:rPr>
          <w:b/>
          <w:bCs/>
          <w:sz w:val="36"/>
          <w:szCs w:val="36"/>
        </w:rPr>
        <w:t>.</w:t>
      </w:r>
      <w:r>
        <w:rPr>
          <w:b/>
          <w:bCs/>
          <w:sz w:val="36"/>
          <w:szCs w:val="36"/>
        </w:rPr>
        <w:br/>
      </w:r>
      <w:r w:rsidR="00A223B1">
        <w:rPr>
          <w:b/>
          <w:bCs/>
          <w:sz w:val="36"/>
          <w:szCs w:val="36"/>
        </w:rPr>
        <w:t xml:space="preserve">DALLA FONDAZIONE GIMBE L’APPELLO PER UN PATTO POLITICO E SOCIALE </w:t>
      </w:r>
      <w:r w:rsidR="00AB3272">
        <w:rPr>
          <w:b/>
          <w:bCs/>
          <w:sz w:val="36"/>
          <w:szCs w:val="36"/>
        </w:rPr>
        <w:t xml:space="preserve">PER RILANCIARE </w:t>
      </w:r>
      <w:r w:rsidR="00A223B1">
        <w:rPr>
          <w:b/>
          <w:bCs/>
          <w:sz w:val="36"/>
          <w:szCs w:val="36"/>
        </w:rPr>
        <w:t>LA SANITÀ PUBBLICA</w:t>
      </w:r>
    </w:p>
    <w:p w14:paraId="51691531" w14:textId="77777777" w:rsidR="00815D37" w:rsidRDefault="00815D37" w:rsidP="00815D37">
      <w:pPr>
        <w:jc w:val="center"/>
        <w:rPr>
          <w:rFonts w:ascii="Calibri" w:eastAsia="Calibri" w:hAnsi="Calibri" w:cs="Times New Roman"/>
          <w:b/>
          <w:bCs/>
          <w:sz w:val="24"/>
          <w:szCs w:val="24"/>
        </w:rPr>
      </w:pPr>
      <w:r>
        <w:rPr>
          <w:rFonts w:ascii="Calibri" w:eastAsia="Calibri" w:hAnsi="Calibri" w:cs="Times New Roman"/>
          <w:b/>
          <w:bCs/>
          <w:sz w:val="24"/>
          <w:szCs w:val="24"/>
        </w:rPr>
        <w:t xml:space="preserve">10 ottobre 2023 - </w:t>
      </w:r>
      <w:r w:rsidRPr="00C8624C">
        <w:rPr>
          <w:rFonts w:ascii="Calibri" w:eastAsia="Calibri" w:hAnsi="Calibri" w:cs="Times New Roman"/>
          <w:b/>
          <w:bCs/>
          <w:sz w:val="24"/>
          <w:szCs w:val="24"/>
        </w:rPr>
        <w:t xml:space="preserve">Fondazione GIMBE, </w:t>
      </w:r>
      <w:r>
        <w:rPr>
          <w:rFonts w:ascii="Calibri" w:eastAsia="Calibri" w:hAnsi="Calibri" w:cs="Times New Roman"/>
          <w:b/>
          <w:bCs/>
          <w:sz w:val="24"/>
          <w:szCs w:val="24"/>
        </w:rPr>
        <w:t>Roma</w:t>
      </w:r>
    </w:p>
    <w:p w14:paraId="475ECF0B" w14:textId="3EFA231B" w:rsidR="00815D37" w:rsidRDefault="00815D37" w:rsidP="00815D37">
      <w:pPr>
        <w:jc w:val="both"/>
        <w:rPr>
          <w:rFonts w:cstheme="minorHAnsi"/>
        </w:rPr>
      </w:pPr>
      <w:r w:rsidRPr="00D26331">
        <w:rPr>
          <w:rFonts w:cstheme="minorHAnsi"/>
        </w:rPr>
        <w:t xml:space="preserve">La Fondazione GIMBE ha presentato oggi presso </w:t>
      </w:r>
      <w:r>
        <w:t xml:space="preserve">la </w:t>
      </w:r>
      <w:r w:rsidRPr="00B01528">
        <w:rPr>
          <w:rFonts w:cstheme="minorHAnsi"/>
        </w:rPr>
        <w:t xml:space="preserve">Sala Capitolare </w:t>
      </w:r>
      <w:r>
        <w:rPr>
          <w:rFonts w:cstheme="minorHAnsi"/>
        </w:rPr>
        <w:t xml:space="preserve">del Senato della Repubblica </w:t>
      </w:r>
      <w:r w:rsidRPr="00D26331">
        <w:rPr>
          <w:rFonts w:cstheme="minorHAnsi"/>
        </w:rPr>
        <w:t xml:space="preserve">il </w:t>
      </w:r>
      <w:hyperlink r:id="rId8" w:history="1">
        <w:r w:rsidRPr="006226EB">
          <w:rPr>
            <w:rStyle w:val="Collegamentoipertestuale"/>
            <w:rFonts w:cstheme="minorHAnsi"/>
          </w:rPr>
          <w:t>6° Rapporto sul Servizio Sanitario Nazionale</w:t>
        </w:r>
      </w:hyperlink>
      <w:r>
        <w:rPr>
          <w:rFonts w:cstheme="minorHAnsi"/>
        </w:rPr>
        <w:t xml:space="preserve"> (SSN)</w:t>
      </w:r>
      <w:r w:rsidRPr="00D26331">
        <w:rPr>
          <w:rFonts w:cstheme="minorHAnsi"/>
        </w:rPr>
        <w:t>: «</w:t>
      </w:r>
      <w:r>
        <w:rPr>
          <w:rFonts w:cstheme="minorHAnsi"/>
        </w:rPr>
        <w:t>I</w:t>
      </w:r>
      <w:r w:rsidRPr="00252E47">
        <w:rPr>
          <w:rFonts w:cstheme="minorHAnsi"/>
        </w:rPr>
        <w:t xml:space="preserve"> princìpi fondanti del SSN</w:t>
      </w:r>
      <w:r>
        <w:rPr>
          <w:rFonts w:cstheme="minorHAnsi"/>
        </w:rPr>
        <w:t>,</w:t>
      </w:r>
      <w:r w:rsidRPr="00252E47">
        <w:rPr>
          <w:rFonts w:cstheme="minorHAnsi"/>
        </w:rPr>
        <w:t xml:space="preserve"> universalità, uguaglianza, equità </w:t>
      </w:r>
      <w:r w:rsidRPr="000017A8">
        <w:rPr>
          <w:rFonts w:cstheme="minorHAnsi"/>
        </w:rPr>
        <w:t xml:space="preserve">– </w:t>
      </w:r>
      <w:r>
        <w:rPr>
          <w:rFonts w:cstheme="minorHAnsi"/>
        </w:rPr>
        <w:t xml:space="preserve">ha esordito </w:t>
      </w:r>
      <w:r w:rsidRPr="000017A8">
        <w:rPr>
          <w:rFonts w:cstheme="minorHAnsi"/>
        </w:rPr>
        <w:t>il Presidente Nino Cartabellotta –</w:t>
      </w:r>
      <w:r w:rsidR="0089700B">
        <w:rPr>
          <w:rFonts w:cstheme="minorHAnsi"/>
        </w:rPr>
        <w:t xml:space="preserve"> </w:t>
      </w:r>
      <w:r w:rsidRPr="00252E47">
        <w:rPr>
          <w:rFonts w:cstheme="minorHAnsi"/>
        </w:rPr>
        <w:t>sono stati traditi</w:t>
      </w:r>
      <w:r>
        <w:rPr>
          <w:rFonts w:cstheme="minorHAnsi"/>
        </w:rPr>
        <w:t>. Oggi</w:t>
      </w:r>
      <w:r w:rsidR="00CF661C">
        <w:rPr>
          <w:rFonts w:cstheme="minorHAnsi"/>
        </w:rPr>
        <w:t xml:space="preserve"> </w:t>
      </w:r>
      <w:r w:rsidRPr="00252E47">
        <w:rPr>
          <w:rFonts w:cstheme="minorHAnsi"/>
        </w:rPr>
        <w:t xml:space="preserve">sono ben altre le parole chiave che </w:t>
      </w:r>
      <w:r w:rsidR="0030437B">
        <w:rPr>
          <w:rFonts w:cstheme="minorHAnsi"/>
        </w:rPr>
        <w:t>definiscono</w:t>
      </w:r>
      <w:r w:rsidR="00CF661C">
        <w:rPr>
          <w:rFonts w:cstheme="minorHAnsi"/>
        </w:rPr>
        <w:t xml:space="preserve"> un</w:t>
      </w:r>
      <w:r w:rsidRPr="00252E47">
        <w:rPr>
          <w:rFonts w:cstheme="minorHAnsi"/>
        </w:rPr>
        <w:t xml:space="preserve"> SSN </w:t>
      </w:r>
      <w:r w:rsidR="00CF661C">
        <w:rPr>
          <w:rFonts w:cstheme="minorHAnsi"/>
        </w:rPr>
        <w:t xml:space="preserve">ormai al capolinea </w:t>
      </w:r>
      <w:r w:rsidRPr="00252E47">
        <w:rPr>
          <w:rFonts w:cstheme="minorHAnsi"/>
        </w:rPr>
        <w:t>e condizionano la vita quotidiana delle persone, in particolare delle fasce socio-economiche meno abbienti: interminabili tempi di attesa</w:t>
      </w:r>
      <w:r w:rsidR="00FE00CB">
        <w:rPr>
          <w:rFonts w:cstheme="minorHAnsi"/>
        </w:rPr>
        <w:t xml:space="preserve">, </w:t>
      </w:r>
      <w:r w:rsidRPr="00252E47">
        <w:rPr>
          <w:rFonts w:cstheme="minorHAnsi"/>
        </w:rPr>
        <w:t>affollamento dei pronto soccorso, impossibilità di trovare un medico o un pediatra di famiglia vicino casa</w:t>
      </w:r>
      <w:r w:rsidR="00FE00CB">
        <w:rPr>
          <w:rFonts w:cstheme="minorHAnsi"/>
        </w:rPr>
        <w:t>,</w:t>
      </w:r>
      <w:r w:rsidRPr="00252E47">
        <w:rPr>
          <w:rFonts w:cstheme="minorHAnsi"/>
        </w:rPr>
        <w:t xml:space="preserve"> inaccettabili diseguaglianze regionali e locali sino alla migrazione sanitaria</w:t>
      </w:r>
      <w:r w:rsidR="0030437B">
        <w:rPr>
          <w:rFonts w:cstheme="minorHAnsi"/>
        </w:rPr>
        <w:t>,</w:t>
      </w:r>
      <w:r w:rsidR="0030437B" w:rsidRPr="0030437B">
        <w:rPr>
          <w:rFonts w:cstheme="minorHAnsi"/>
        </w:rPr>
        <w:t xml:space="preserve"> </w:t>
      </w:r>
      <w:r w:rsidR="0030437B" w:rsidRPr="00252E47">
        <w:rPr>
          <w:rFonts w:cstheme="minorHAnsi"/>
        </w:rPr>
        <w:t>aumento della spesa privata sino all’impoverimento delle famiglie e alla rinuncia alle cure</w:t>
      </w:r>
      <w:r w:rsidRPr="00D26331">
        <w:rPr>
          <w:rFonts w:cstheme="minorHAnsi"/>
        </w:rPr>
        <w:t>».</w:t>
      </w:r>
    </w:p>
    <w:p w14:paraId="1B39B576" w14:textId="1D3671A4" w:rsidR="00815D37" w:rsidRDefault="00815D37" w:rsidP="00815D37">
      <w:pPr>
        <w:jc w:val="both"/>
        <w:rPr>
          <w:rFonts w:cstheme="minorHAnsi"/>
        </w:rPr>
      </w:pPr>
      <w:r w:rsidRPr="00D26331">
        <w:rPr>
          <w:rFonts w:cstheme="minorHAnsi"/>
        </w:rPr>
        <w:t>«</w:t>
      </w:r>
      <w:r>
        <w:rPr>
          <w:rFonts w:cstheme="minorHAnsi"/>
        </w:rPr>
        <w:t xml:space="preserve">Considerato che il progressivo </w:t>
      </w:r>
      <w:r w:rsidR="007C582F">
        <w:rPr>
          <w:rFonts w:cstheme="minorHAnsi"/>
        </w:rPr>
        <w:t xml:space="preserve">indebolimento </w:t>
      </w:r>
      <w:r>
        <w:rPr>
          <w:rFonts w:cstheme="minorHAnsi"/>
        </w:rPr>
        <w:t>del SSN dura da oltre 15 anni</w:t>
      </w:r>
      <w:r w:rsidR="0030437B">
        <w:rPr>
          <w:rFonts w:cstheme="minorHAnsi"/>
        </w:rPr>
        <w:t>,</w:t>
      </w:r>
      <w:r>
        <w:rPr>
          <w:rFonts w:cstheme="minorHAnsi"/>
        </w:rPr>
        <w:t xml:space="preserve"> perpetrato da parte di tutti i Governi </w:t>
      </w:r>
      <w:r w:rsidRPr="000017A8">
        <w:rPr>
          <w:rFonts w:cstheme="minorHAnsi"/>
        </w:rPr>
        <w:t xml:space="preserve">– </w:t>
      </w:r>
      <w:r>
        <w:rPr>
          <w:rFonts w:cstheme="minorHAnsi"/>
        </w:rPr>
        <w:t xml:space="preserve">ha affondato Cartabellotta </w:t>
      </w:r>
      <w:r w:rsidRPr="000017A8">
        <w:rPr>
          <w:rFonts w:cstheme="minorHAnsi"/>
        </w:rPr>
        <w:t>–</w:t>
      </w:r>
      <w:r>
        <w:rPr>
          <w:rFonts w:cstheme="minorHAnsi"/>
        </w:rPr>
        <w:t xml:space="preserve"> </w:t>
      </w:r>
      <w:r w:rsidRPr="00725232">
        <w:rPr>
          <w:rFonts w:cstheme="minorHAnsi"/>
        </w:rPr>
        <w:t>non è più tempo di utilizzare il fragile terreno della sanità e i disagi dell</w:t>
      </w:r>
      <w:r>
        <w:rPr>
          <w:rFonts w:cstheme="minorHAnsi"/>
        </w:rPr>
        <w:t>a popolazione</w:t>
      </w:r>
      <w:r w:rsidRPr="00725232">
        <w:rPr>
          <w:rFonts w:cstheme="minorHAnsi"/>
        </w:rPr>
        <w:t xml:space="preserve"> per </w:t>
      </w:r>
      <w:r>
        <w:rPr>
          <w:rFonts w:cstheme="minorHAnsi"/>
        </w:rPr>
        <w:t xml:space="preserve">sterili </w:t>
      </w:r>
      <w:r w:rsidRPr="00725232">
        <w:rPr>
          <w:rFonts w:cstheme="minorHAnsi"/>
        </w:rPr>
        <w:t xml:space="preserve">rivendicazioni politiche </w:t>
      </w:r>
      <w:r w:rsidR="0030437B">
        <w:rPr>
          <w:rFonts w:cstheme="minorHAnsi"/>
        </w:rPr>
        <w:t>su</w:t>
      </w:r>
      <w:r>
        <w:rPr>
          <w:rFonts w:cstheme="minorHAnsi"/>
        </w:rPr>
        <w:t xml:space="preserve"> </w:t>
      </w:r>
      <w:r w:rsidRPr="00725232">
        <w:rPr>
          <w:rFonts w:cstheme="minorHAnsi"/>
        </w:rPr>
        <w:t>chi ha sottratto più risorse al SSN. Perché</w:t>
      </w:r>
      <w:r>
        <w:rPr>
          <w:rFonts w:cstheme="minorHAnsi"/>
        </w:rPr>
        <w:t xml:space="preserve"> </w:t>
      </w:r>
      <w:r w:rsidRPr="00725232">
        <w:rPr>
          <w:rFonts w:cstheme="minorHAnsi"/>
        </w:rPr>
        <w:t xml:space="preserve">stiamo inesorabilmente scivolando da un </w:t>
      </w:r>
      <w:r w:rsidRPr="00046AC7">
        <w:rPr>
          <w:rFonts w:cstheme="minorHAnsi"/>
          <w:i/>
        </w:rPr>
        <w:t>Servizio</w:t>
      </w:r>
      <w:r w:rsidRPr="00725232">
        <w:rPr>
          <w:rFonts w:cstheme="minorHAnsi"/>
        </w:rPr>
        <w:t xml:space="preserve"> Sanitario Nazionale fondato sulla tutela di un diritto costituzionale a 21 </w:t>
      </w:r>
      <w:r w:rsidRPr="00046AC7">
        <w:rPr>
          <w:rFonts w:cstheme="minorHAnsi"/>
          <w:i/>
        </w:rPr>
        <w:t>sistemi</w:t>
      </w:r>
      <w:r w:rsidRPr="00725232">
        <w:rPr>
          <w:rFonts w:cstheme="minorHAnsi"/>
        </w:rPr>
        <w:t xml:space="preserve"> sanitari regionali regolati dalle leggi del libero mercato. Con una frattura strutturale Nord-Sud che </w:t>
      </w:r>
      <w:r>
        <w:rPr>
          <w:rFonts w:cstheme="minorHAnsi"/>
        </w:rPr>
        <w:t xml:space="preserve">sta per essere </w:t>
      </w:r>
      <w:r w:rsidR="0030437B" w:rsidRPr="00725232">
        <w:rPr>
          <w:rFonts w:cstheme="minorHAnsi"/>
        </w:rPr>
        <w:t xml:space="preserve">normativamente </w:t>
      </w:r>
      <w:r w:rsidRPr="00725232">
        <w:rPr>
          <w:rFonts w:cstheme="minorHAnsi"/>
        </w:rPr>
        <w:t>legittimata dall’autonomia differenziata</w:t>
      </w:r>
      <w:r w:rsidRPr="00D26331">
        <w:rPr>
          <w:rFonts w:cstheme="minorHAnsi"/>
        </w:rPr>
        <w:t>».</w:t>
      </w:r>
    </w:p>
    <w:p w14:paraId="0FF328E4" w14:textId="2110793B" w:rsidR="00815D37" w:rsidRPr="00136F1C" w:rsidRDefault="00815D37" w:rsidP="00815D37">
      <w:pPr>
        <w:jc w:val="both"/>
        <w:rPr>
          <w:rFonts w:cstheme="minorHAnsi"/>
        </w:rPr>
      </w:pPr>
      <w:r>
        <w:rPr>
          <w:rFonts w:cstheme="minorHAnsi"/>
        </w:rPr>
        <w:t xml:space="preserve">Richiamando </w:t>
      </w:r>
      <w:r w:rsidR="0089700B">
        <w:rPr>
          <w:rFonts w:cstheme="minorHAnsi"/>
        </w:rPr>
        <w:t xml:space="preserve">il recente </w:t>
      </w:r>
      <w:r>
        <w:rPr>
          <w:rFonts w:cstheme="minorHAnsi"/>
        </w:rPr>
        <w:t xml:space="preserve">intervento del </w:t>
      </w:r>
      <w:r>
        <w:t xml:space="preserve">Presidente Meloni, </w:t>
      </w:r>
      <w:r w:rsidR="00FE00CB">
        <w:t xml:space="preserve">secondo cui </w:t>
      </w:r>
      <w:r>
        <w:t>“</w:t>
      </w:r>
      <w:r w:rsidRPr="00C7329F">
        <w:rPr>
          <w:i/>
          <w:iCs/>
        </w:rPr>
        <w:t>sarebbe miope concentrare tut</w:t>
      </w:r>
      <w:r>
        <w:rPr>
          <w:i/>
          <w:iCs/>
        </w:rPr>
        <w:t>t</w:t>
      </w:r>
      <w:r w:rsidRPr="00C7329F">
        <w:rPr>
          <w:i/>
          <w:iCs/>
        </w:rPr>
        <w:t>a la discussione sull’aumento o meno delle risorse perché bisogna confrontarsi anche su come quelle risorse vengono spese</w:t>
      </w:r>
      <w:r>
        <w:t xml:space="preserve">”, Cartabellotta ha condiviso che </w:t>
      </w:r>
      <w:r w:rsidRPr="00D26331">
        <w:rPr>
          <w:rFonts w:cstheme="minorHAnsi"/>
        </w:rPr>
        <w:t>«</w:t>
      </w:r>
      <w:r>
        <w:t xml:space="preserve">potenzialmente ci sono </w:t>
      </w:r>
      <w:r w:rsidR="007862F7">
        <w:t xml:space="preserve">ampi </w:t>
      </w:r>
      <w:r>
        <w:t xml:space="preserve">margini di recupero su vari ambiti: eccesso di prestazioni da medicina difensiva e domanda inappropriata, </w:t>
      </w:r>
      <w:r w:rsidR="0089700B">
        <w:t xml:space="preserve">conseguenze del sotto-utilizzo di prestazioni efficaci, </w:t>
      </w:r>
      <w:r w:rsidRPr="002F005D">
        <w:t>frodi</w:t>
      </w:r>
      <w:r>
        <w:t xml:space="preserve">, </w:t>
      </w:r>
      <w:r w:rsidRPr="002F005D">
        <w:t>acquisti a costi eccessivi, complessità amministrative, inadeguato coordinamento dell’assistenza, in particolare tra ospedale e territorio.</w:t>
      </w:r>
      <w:r>
        <w:t xml:space="preserve"> Ma</w:t>
      </w:r>
      <w:r w:rsidR="007862F7">
        <w:t xml:space="preserve"> </w:t>
      </w:r>
      <w:r w:rsidR="0089700B">
        <w:t xml:space="preserve">il recupero di queste risorse </w:t>
      </w:r>
      <w:r>
        <w:t>richied</w:t>
      </w:r>
      <w:r w:rsidR="0089700B">
        <w:t>e</w:t>
      </w:r>
      <w:r>
        <w:t xml:space="preserve"> una profonda riorganizzazione del SSN, riforme</w:t>
      </w:r>
      <w:r w:rsidR="008027A4">
        <w:t xml:space="preserve"> di rottura</w:t>
      </w:r>
      <w:r>
        <w:t>, formazione dei professionisti e informazione alla popolazione sull’appropriatezza di esami diagnostici e terapie</w:t>
      </w:r>
      <w:r w:rsidR="0030437B">
        <w:t>:</w:t>
      </w:r>
      <w:r w:rsidR="0089700B">
        <w:t xml:space="preserve"> </w:t>
      </w:r>
      <w:r>
        <w:t xml:space="preserve">non </w:t>
      </w:r>
      <w:r w:rsidR="0089700B">
        <w:t xml:space="preserve">si tratta di </w:t>
      </w:r>
      <w:r>
        <w:t xml:space="preserve">risorse monetizzabili a breve termine, </w:t>
      </w:r>
      <w:r w:rsidR="0030437B">
        <w:t xml:space="preserve">analogamente a </w:t>
      </w:r>
      <w:r>
        <w:t>quelle sottratte all’erario dall’evasione fiscale</w:t>
      </w:r>
      <w:r w:rsidRPr="00D26331">
        <w:rPr>
          <w:rFonts w:cstheme="minorHAnsi"/>
        </w:rPr>
        <w:t>».</w:t>
      </w:r>
    </w:p>
    <w:p w14:paraId="7E746F11" w14:textId="6DC7EC3F" w:rsidR="00815D37" w:rsidRDefault="00815D37" w:rsidP="00815D37">
      <w:pPr>
        <w:jc w:val="both"/>
        <w:rPr>
          <w:rFonts w:cstheme="minorHAnsi"/>
        </w:rPr>
      </w:pPr>
      <w:r w:rsidRPr="00D26331">
        <w:rPr>
          <w:rFonts w:cstheme="minorHAnsi"/>
        </w:rPr>
        <w:t>«</w:t>
      </w:r>
      <w:r>
        <w:rPr>
          <w:rFonts w:cstheme="minorHAnsi"/>
        </w:rPr>
        <w:t xml:space="preserve">Ecco perchè a quasi </w:t>
      </w:r>
      <w:r w:rsidRPr="00637A6B">
        <w:rPr>
          <w:rFonts w:cstheme="minorHAnsi"/>
        </w:rPr>
        <w:t xml:space="preserve">45 anni dalla </w:t>
      </w:r>
      <w:r>
        <w:rPr>
          <w:rFonts w:cstheme="minorHAnsi"/>
        </w:rPr>
        <w:t>l</w:t>
      </w:r>
      <w:r w:rsidRPr="00637A6B">
        <w:rPr>
          <w:rFonts w:cstheme="minorHAnsi"/>
        </w:rPr>
        <w:t xml:space="preserve">egge </w:t>
      </w:r>
      <w:r>
        <w:rPr>
          <w:rFonts w:cstheme="minorHAnsi"/>
        </w:rPr>
        <w:t xml:space="preserve">istitutiva del SSN </w:t>
      </w:r>
      <w:r w:rsidRPr="000017A8">
        <w:rPr>
          <w:rFonts w:cstheme="minorHAnsi"/>
        </w:rPr>
        <w:t xml:space="preserve">– </w:t>
      </w:r>
      <w:r>
        <w:rPr>
          <w:rFonts w:cstheme="minorHAnsi"/>
        </w:rPr>
        <w:t xml:space="preserve">ha continuato Cartabellotta </w:t>
      </w:r>
      <w:r w:rsidRPr="000017A8">
        <w:rPr>
          <w:rFonts w:cstheme="minorHAnsi"/>
        </w:rPr>
        <w:t>–</w:t>
      </w:r>
      <w:r>
        <w:rPr>
          <w:rFonts w:cstheme="minorHAnsi"/>
        </w:rPr>
        <w:t xml:space="preserve"> la Fondazione GIMBE invoca </w:t>
      </w:r>
      <w:r w:rsidRPr="00637A6B">
        <w:rPr>
          <w:rFonts w:cstheme="minorHAnsi"/>
        </w:rPr>
        <w:t xml:space="preserve">un patto sociale e politico che, prescindendo da ideologie partitiche e avvicendamenti di </w:t>
      </w:r>
      <w:r w:rsidRPr="00637A6B">
        <w:rPr>
          <w:rFonts w:cstheme="minorHAnsi"/>
        </w:rPr>
        <w:lastRenderedPageBreak/>
        <w:t>Governi, ri</w:t>
      </w:r>
      <w:r w:rsidR="00AB3272">
        <w:rPr>
          <w:rFonts w:cstheme="minorHAnsi"/>
        </w:rPr>
        <w:t xml:space="preserve">lanci </w:t>
      </w:r>
      <w:r w:rsidRPr="00637A6B">
        <w:rPr>
          <w:rFonts w:cstheme="minorHAnsi"/>
        </w:rPr>
        <w:t xml:space="preserve">quel modello di </w:t>
      </w:r>
      <w:r>
        <w:rPr>
          <w:rFonts w:cstheme="minorHAnsi"/>
        </w:rPr>
        <w:t>sanità pubblica, equa e universalistica</w:t>
      </w:r>
      <w:r w:rsidR="00AB3272">
        <w:rPr>
          <w:rFonts w:cstheme="minorHAnsi"/>
        </w:rPr>
        <w:t xml:space="preserve">, </w:t>
      </w:r>
      <w:r w:rsidRPr="00637A6B">
        <w:rPr>
          <w:rFonts w:cstheme="minorHAnsi"/>
        </w:rPr>
        <w:t xml:space="preserve">pilastro della nostra democrazia, conquista </w:t>
      </w:r>
      <w:r>
        <w:rPr>
          <w:rFonts w:cstheme="minorHAnsi"/>
        </w:rPr>
        <w:t xml:space="preserve">sociale </w:t>
      </w:r>
      <w:r w:rsidRPr="00637A6B">
        <w:rPr>
          <w:rFonts w:cstheme="minorHAnsi"/>
        </w:rPr>
        <w:t>irrinunciabile</w:t>
      </w:r>
      <w:r w:rsidR="00AB3272">
        <w:rPr>
          <w:rFonts w:cstheme="minorHAnsi"/>
        </w:rPr>
        <w:t xml:space="preserve"> e </w:t>
      </w:r>
      <w:r w:rsidRPr="00637A6B">
        <w:rPr>
          <w:rFonts w:cstheme="minorHAnsi"/>
        </w:rPr>
        <w:t>grande leva per lo sviluppo economico del Paese</w:t>
      </w:r>
      <w:r w:rsidRPr="00D26331">
        <w:rPr>
          <w:rFonts w:cstheme="minorHAnsi"/>
        </w:rPr>
        <w:t>».</w:t>
      </w:r>
    </w:p>
    <w:p w14:paraId="53D5E0E0" w14:textId="5B61E7B5" w:rsidR="00815D37" w:rsidRDefault="00815D37" w:rsidP="00815D37">
      <w:pPr>
        <w:jc w:val="both"/>
      </w:pPr>
      <w:r>
        <w:t>«Il preoccupante “stato di salute” del</w:t>
      </w:r>
      <w:r w:rsidR="00181DF1">
        <w:t xml:space="preserve"> SSN </w:t>
      </w:r>
      <w:r>
        <w:t>– ha concluso Cartabellotta – impone una profonda riflessione politica</w:t>
      </w:r>
      <w:r w:rsidR="008027A4">
        <w:t>:</w:t>
      </w:r>
      <w:r>
        <w:t xml:space="preserve"> il tempo della manutenzione ordinaria </w:t>
      </w:r>
      <w:r w:rsidR="008027A4">
        <w:t xml:space="preserve">per il </w:t>
      </w:r>
      <w:r>
        <w:t xml:space="preserve">SSN è ormai scaduto, visto che ne ha sgretolato i princìpi fondanti e mina il diritto costituzionale alla tutela della Salute. </w:t>
      </w:r>
      <w:r w:rsidR="008027A4">
        <w:t>È giunto ora il tempo</w:t>
      </w:r>
      <w:r>
        <w:t xml:space="preserve"> delle scelte: o si avvia una stagione di coraggiose riforme e investimenti in grado di restituire al SSN la sua missione originale, oppure si ammetta apertamente che </w:t>
      </w:r>
      <w:r w:rsidR="007862F7">
        <w:t xml:space="preserve">il nostro Paese </w:t>
      </w:r>
      <w:r>
        <w:t xml:space="preserve">non può più permettersi quel modello di </w:t>
      </w:r>
      <w:r w:rsidR="00181DF1">
        <w:t>SSN</w:t>
      </w:r>
      <w:r>
        <w:t>. In questo</w:t>
      </w:r>
      <w:r w:rsidR="008027A4">
        <w:t xml:space="preserve"> (</w:t>
      </w:r>
      <w:r>
        <w:t>non auspicabil</w:t>
      </w:r>
      <w:r w:rsidR="00181DF1">
        <w:t>e</w:t>
      </w:r>
      <w:r w:rsidR="008027A4">
        <w:t xml:space="preserve">) </w:t>
      </w:r>
      <w:r>
        <w:t xml:space="preserve">caso la politica non può sottrarsi dal gravoso compito di governare un rigoroso processo di privatizzazione, </w:t>
      </w:r>
      <w:r w:rsidR="00181DF1">
        <w:t xml:space="preserve">che ormai da anni si sta insinuando in maniera strisciante </w:t>
      </w:r>
      <w:r w:rsidR="008E70BF">
        <w:t>approfittando dell</w:t>
      </w:r>
      <w:r w:rsidR="00181DF1">
        <w:t>’indebolimento della sanità pubblica</w:t>
      </w:r>
      <w:r>
        <w:t xml:space="preserve">. </w:t>
      </w:r>
      <w:r w:rsidR="00977B89">
        <w:t xml:space="preserve">La Fondazione GIMBE, con il Piano di Rilancio del SSN, conferma che </w:t>
      </w:r>
      <w:r>
        <w:t xml:space="preserve">la bussola </w:t>
      </w:r>
      <w:r w:rsidR="008027A4">
        <w:t xml:space="preserve">deve rimanere </w:t>
      </w:r>
      <w:r>
        <w:t>sempre e comunque l’articolo 32 della Costituzione: perché se la Costituzione tutela il diritto alla salute di tutti, la sanità deve essere per tutti».</w:t>
      </w:r>
    </w:p>
    <w:p w14:paraId="790802E1" w14:textId="43636E92" w:rsidR="00A223B1" w:rsidRPr="00046AC7" w:rsidRDefault="00815D37" w:rsidP="00815D37">
      <w:pPr>
        <w:jc w:val="both"/>
        <w:rPr>
          <w:rFonts w:cstheme="minorHAnsi"/>
        </w:rPr>
      </w:pPr>
      <w:r>
        <w:rPr>
          <w:rFonts w:cstheme="minorHAnsi"/>
        </w:rPr>
        <w:t>Il Presidente ha riportato una sintesi di dati, analisi, criticità e proposte contenute nel Rapporto: dal finanziamento pubblico alla spesa sanitaria, dai Livelli Essenziali di Assistenza alle diseguaglianze regionali e alla mobilità sanitaria, dal personale alla Missione Salute del PNRR, sino al Piano di Rilancio del SSN.</w:t>
      </w:r>
    </w:p>
    <w:p w14:paraId="3610B94F" w14:textId="498C7B6E" w:rsidR="00F81CAF" w:rsidRPr="00BD2C2E" w:rsidRDefault="00BD2C2E" w:rsidP="00BD2C2E">
      <w:pPr>
        <w:jc w:val="both"/>
        <w:rPr>
          <w:rFonts w:cstheme="minorHAnsi"/>
        </w:rPr>
      </w:pPr>
      <w:r w:rsidRPr="00BD2C2E">
        <w:rPr>
          <w:rFonts w:cstheme="minorHAnsi"/>
          <w:b/>
          <w:bCs/>
        </w:rPr>
        <w:t>FINANZIAMENTO PUBBLICO</w:t>
      </w:r>
      <w:r w:rsidR="006D1496" w:rsidRPr="00BD2C2E">
        <w:rPr>
          <w:rFonts w:cstheme="minorHAnsi"/>
        </w:rPr>
        <w:t xml:space="preserve">. </w:t>
      </w:r>
      <w:r w:rsidR="00F81CAF" w:rsidRPr="00BD2C2E">
        <w:rPr>
          <w:rFonts w:cstheme="minorHAnsi"/>
        </w:rPr>
        <w:t>Il fabbisogn</w:t>
      </w:r>
      <w:bookmarkStart w:id="0" w:name="_GoBack"/>
      <w:bookmarkEnd w:id="0"/>
      <w:r w:rsidR="00F81CAF" w:rsidRPr="00BD2C2E">
        <w:rPr>
          <w:rFonts w:cstheme="minorHAnsi"/>
        </w:rPr>
        <w:t>o sanitario nazionale (FSN) dal 2010 al 2023 è aumentato complessivamente di € 23,3 miliardi, in media € 1,94 miliardi per anno, ma con trend molti diversi tra il periodo pre-pandemico (2010-2019), pandemico (2020-2022) e post-pandemico (2023)</w:t>
      </w:r>
      <w:r w:rsidR="00815D37">
        <w:rPr>
          <w:rFonts w:cstheme="minorHAnsi"/>
        </w:rPr>
        <w:t xml:space="preserve">, su cui </w:t>
      </w:r>
      <w:r w:rsidR="00815D37" w:rsidRPr="00815D37">
        <w:rPr>
          <w:rFonts w:cstheme="minorHAnsi"/>
        </w:rPr>
        <w:t>«</w:t>
      </w:r>
      <w:r w:rsidR="00815D37">
        <w:rPr>
          <w:rFonts w:cstheme="minorHAnsi"/>
        </w:rPr>
        <w:t xml:space="preserve">è opportuno rifare chiarezza </w:t>
      </w:r>
      <w:r w:rsidR="00815D37" w:rsidRPr="00815D37">
        <w:rPr>
          <w:rFonts w:cstheme="minorHAnsi"/>
        </w:rPr>
        <w:t xml:space="preserve">– </w:t>
      </w:r>
      <w:r w:rsidR="00815D37">
        <w:rPr>
          <w:rFonts w:cstheme="minorHAnsi"/>
        </w:rPr>
        <w:t xml:space="preserve">ha chiosato Cartabellotta – per </w:t>
      </w:r>
      <w:r w:rsidR="00775B12">
        <w:rPr>
          <w:rFonts w:cstheme="minorHAnsi"/>
        </w:rPr>
        <w:t xml:space="preserve">documentare che tutti i Governi </w:t>
      </w:r>
      <w:r w:rsidR="008027A4">
        <w:rPr>
          <w:rFonts w:cstheme="minorHAnsi"/>
        </w:rPr>
        <w:t xml:space="preserve">che si sono succeduti negli </w:t>
      </w:r>
      <w:r w:rsidR="00775B12">
        <w:rPr>
          <w:rFonts w:cstheme="minorHAnsi"/>
        </w:rPr>
        <w:t xml:space="preserve">ultimi 15 anni hanno tagliato e/o non investito </w:t>
      </w:r>
      <w:r w:rsidR="008027A4">
        <w:rPr>
          <w:rFonts w:cstheme="minorHAnsi"/>
        </w:rPr>
        <w:t>adeguatamente</w:t>
      </w:r>
      <w:r w:rsidR="00775B12">
        <w:rPr>
          <w:rFonts w:cstheme="minorHAnsi"/>
        </w:rPr>
        <w:t xml:space="preserve"> in sanità</w:t>
      </w:r>
      <w:r w:rsidR="00815D37" w:rsidRPr="00815D37">
        <w:rPr>
          <w:rFonts w:cstheme="minorHAnsi"/>
        </w:rPr>
        <w:t>»</w:t>
      </w:r>
      <w:r w:rsidR="008E70BF" w:rsidRPr="00815D37" w:rsidDel="008E70BF">
        <w:rPr>
          <w:rFonts w:cstheme="minorHAnsi"/>
        </w:rPr>
        <w:t xml:space="preserve"> </w:t>
      </w:r>
      <w:r w:rsidR="00F81CAF" w:rsidRPr="00BD2C2E">
        <w:rPr>
          <w:rFonts w:cstheme="minorHAnsi"/>
        </w:rPr>
        <w:t>(</w:t>
      </w:r>
      <w:r w:rsidR="008E70BF">
        <w:rPr>
          <w:rFonts w:cstheme="minorHAnsi"/>
          <w:highlight w:val="yellow"/>
        </w:rPr>
        <w:t>F</w:t>
      </w:r>
      <w:r w:rsidR="008E70BF" w:rsidRPr="00BD2C2E">
        <w:rPr>
          <w:rFonts w:cstheme="minorHAnsi"/>
          <w:highlight w:val="yellow"/>
        </w:rPr>
        <w:t xml:space="preserve">igura </w:t>
      </w:r>
      <w:r w:rsidR="00F81CAF" w:rsidRPr="00BD2C2E">
        <w:rPr>
          <w:rFonts w:cstheme="minorHAnsi"/>
          <w:highlight w:val="yellow"/>
        </w:rPr>
        <w:t>1</w:t>
      </w:r>
      <w:r w:rsidR="00F81CAF" w:rsidRPr="00BD2C2E">
        <w:rPr>
          <w:rFonts w:cstheme="minorHAnsi"/>
        </w:rPr>
        <w:t>).</w:t>
      </w:r>
    </w:p>
    <w:p w14:paraId="3AA1DE59" w14:textId="4049E4D7" w:rsidR="00F81CAF" w:rsidRPr="00F81CAF" w:rsidRDefault="00F81CAF" w:rsidP="00BD2C2E">
      <w:pPr>
        <w:pStyle w:val="Paragrafoelenco"/>
        <w:numPr>
          <w:ilvl w:val="0"/>
          <w:numId w:val="29"/>
        </w:numPr>
        <w:spacing w:line="276" w:lineRule="auto"/>
        <w:jc w:val="both"/>
        <w:rPr>
          <w:rFonts w:cstheme="minorHAnsi"/>
        </w:rPr>
      </w:pPr>
      <w:r w:rsidRPr="00F81CAF">
        <w:rPr>
          <w:rFonts w:cstheme="minorHAnsi"/>
          <w:b/>
          <w:bCs/>
        </w:rPr>
        <w:t>2010-2019: la stagione dei tagli</w:t>
      </w:r>
      <w:r w:rsidRPr="00F81CAF">
        <w:rPr>
          <w:rFonts w:cstheme="minorHAnsi"/>
        </w:rPr>
        <w:t xml:space="preserve">. Alla sanità pubblica sono stati sottratti oltre € 37 miliardi di cui: circa € 25 miliardi nel 2010-2015, in conseguenza di “tagli” previsti da varie manovre </w:t>
      </w:r>
      <w:r w:rsidR="00815D37">
        <w:rPr>
          <w:rFonts w:cstheme="minorHAnsi"/>
        </w:rPr>
        <w:t>finalizzate al risanamento della finanza pubblica</w:t>
      </w:r>
      <w:r w:rsidRPr="00F81CAF">
        <w:rPr>
          <w:rFonts w:cstheme="minorHAnsi"/>
        </w:rPr>
        <w:t xml:space="preserve">; oltre € 12 miliardi nel periodo 2015-2019, in conseguenza del “definanziamento” che ha assegnato meno risorse al SSN rispetto ai livelli programmati. </w:t>
      </w:r>
      <w:r w:rsidR="00815D37">
        <w:rPr>
          <w:rFonts w:cstheme="minorHAnsi"/>
        </w:rPr>
        <w:t xml:space="preserve">In 10 anni </w:t>
      </w:r>
      <w:r w:rsidRPr="00F81CAF">
        <w:rPr>
          <w:rFonts w:cstheme="minorHAnsi"/>
        </w:rPr>
        <w:t xml:space="preserve">il FSN è aumentato </w:t>
      </w:r>
      <w:r w:rsidR="00815D37">
        <w:rPr>
          <w:rFonts w:cstheme="minorHAnsi"/>
        </w:rPr>
        <w:t xml:space="preserve">complessivamente </w:t>
      </w:r>
      <w:r w:rsidRPr="00F81CAF">
        <w:rPr>
          <w:rFonts w:cstheme="minorHAnsi"/>
        </w:rPr>
        <w:t>di € 8,2 miliardi, crescendo in media dello 0,9% annuo, tasso inferiore a quello dell’inflazione media annua (1,15%).</w:t>
      </w:r>
    </w:p>
    <w:p w14:paraId="6EDBBD38" w14:textId="63BE70A0" w:rsidR="00F81CAF" w:rsidRPr="00F81CAF" w:rsidRDefault="00F81CAF" w:rsidP="00BD2C2E">
      <w:pPr>
        <w:pStyle w:val="Paragrafoelenco"/>
        <w:numPr>
          <w:ilvl w:val="0"/>
          <w:numId w:val="29"/>
        </w:numPr>
        <w:spacing w:line="276" w:lineRule="auto"/>
        <w:jc w:val="both"/>
        <w:rPr>
          <w:rFonts w:cstheme="minorHAnsi"/>
        </w:rPr>
      </w:pPr>
      <w:r w:rsidRPr="00F81CAF">
        <w:rPr>
          <w:rFonts w:cstheme="minorHAnsi"/>
          <w:b/>
          <w:bCs/>
        </w:rPr>
        <w:t>2020-2022: la stagione della pandemia</w:t>
      </w:r>
      <w:r w:rsidRPr="00F81CAF">
        <w:rPr>
          <w:rFonts w:cstheme="minorHAnsi"/>
        </w:rPr>
        <w:t>. Il FSN è aumentato complessivamente di € 11,</w:t>
      </w:r>
      <w:r w:rsidR="00DA6FA6">
        <w:rPr>
          <w:rFonts w:cstheme="minorHAnsi"/>
        </w:rPr>
        <w:t>6</w:t>
      </w:r>
      <w:r w:rsidRPr="00F81CAF">
        <w:rPr>
          <w:rFonts w:cstheme="minorHAnsi"/>
        </w:rPr>
        <w:t xml:space="preserve"> miliardi, crescendo in media del 3,4% annuo</w:t>
      </w:r>
      <w:r>
        <w:rPr>
          <w:rFonts w:cstheme="minorHAnsi"/>
        </w:rPr>
        <w:t xml:space="preserve">. </w:t>
      </w:r>
      <w:r w:rsidRPr="00F81CAF">
        <w:rPr>
          <w:rFonts w:cstheme="minorHAnsi"/>
        </w:rPr>
        <w:t>Tuttavia, questo netto rilancio del finanziamento pubblico è stato di fatto assorbito dai costi della pandemia COVID-19, non ha consentito rafforzamenti strutturali del SSN ed è stato insufficiente a tenere in ordine i bilanci delle Regioni.</w:t>
      </w:r>
    </w:p>
    <w:p w14:paraId="7EF6F2B8" w14:textId="15C0577D" w:rsidR="00BD2C2E" w:rsidRPr="00BF3F2C" w:rsidRDefault="00F81CAF" w:rsidP="00BD2C2E">
      <w:pPr>
        <w:pStyle w:val="Paragrafoelenco"/>
        <w:numPr>
          <w:ilvl w:val="0"/>
          <w:numId w:val="29"/>
        </w:numPr>
        <w:spacing w:line="276" w:lineRule="auto"/>
        <w:jc w:val="both"/>
        <w:rPr>
          <w:rFonts w:cstheme="minorHAnsi"/>
        </w:rPr>
      </w:pPr>
      <w:r w:rsidRPr="00F81CAF">
        <w:rPr>
          <w:rFonts w:cstheme="minorHAnsi"/>
          <w:b/>
          <w:bCs/>
        </w:rPr>
        <w:t>2023-2026: il presente e il futuro prossimo</w:t>
      </w:r>
      <w:r w:rsidRPr="00F81CAF">
        <w:rPr>
          <w:rFonts w:cstheme="minorHAnsi"/>
        </w:rPr>
        <w:t xml:space="preserve">. La Legge di Bilancio 2023 ha incrementato il FSN per gli anni 2023, 2024 e 2025, rispettivamente di € 2.150 milioni, € 2.300 milioni e € 2.600 milioni. Nel 2023 € 1.400 milioni sono stati destinati alla copertura dei maggiori costi energetici. Dal punto di vista previsionale, </w:t>
      </w:r>
      <w:r>
        <w:rPr>
          <w:rFonts w:cstheme="minorHAnsi"/>
        </w:rPr>
        <w:t xml:space="preserve">nella </w:t>
      </w:r>
      <w:r w:rsidRPr="00F81CAF">
        <w:rPr>
          <w:rFonts w:cstheme="minorHAnsi"/>
        </w:rPr>
        <w:t>N</w:t>
      </w:r>
      <w:r>
        <w:rPr>
          <w:rFonts w:cstheme="minorHAnsi"/>
        </w:rPr>
        <w:t xml:space="preserve">ota di Aggiornamento del </w:t>
      </w:r>
      <w:r w:rsidRPr="00F81CAF">
        <w:rPr>
          <w:rFonts w:cstheme="minorHAnsi"/>
        </w:rPr>
        <w:t xml:space="preserve">DEF 2023, approvata lo scorso 27 settembre, il rapporto spesa sanitaria/PIL precipita dal 6,6% del 2023 al 6,2% nel 2024 e nel 2025, e poi ancora al 6,1% nel 2026. In termini assoluti, nel triennio 2024-2026 </w:t>
      </w:r>
      <w:r>
        <w:rPr>
          <w:rFonts w:cstheme="minorHAnsi"/>
        </w:rPr>
        <w:t xml:space="preserve">si </w:t>
      </w:r>
      <w:r w:rsidRPr="00F81CAF">
        <w:rPr>
          <w:rFonts w:cstheme="minorHAnsi"/>
        </w:rPr>
        <w:t>stima un incremento della spesa sanitaria di soli € 4.238 milioni (+1,1%).</w:t>
      </w:r>
      <w:r w:rsidR="00BD2C2E">
        <w:rPr>
          <w:rFonts w:cstheme="minorHAnsi"/>
        </w:rPr>
        <w:t xml:space="preserve"> </w:t>
      </w:r>
      <w:r w:rsidR="00BD2C2E">
        <w:rPr>
          <w:rFonts w:cstheme="minorHAnsi"/>
        </w:rPr>
        <w:br/>
      </w:r>
      <w:r w:rsidRPr="00BD2C2E">
        <w:rPr>
          <w:rFonts w:cstheme="minorHAnsi"/>
        </w:rPr>
        <w:t xml:space="preserve">Da rilevare che nel 2022 e nel 2023 l’aumento </w:t>
      </w:r>
      <w:r w:rsidR="008E70BF">
        <w:rPr>
          <w:rFonts w:cstheme="minorHAnsi"/>
        </w:rPr>
        <w:t>percentuale</w:t>
      </w:r>
      <w:r w:rsidR="008E70BF" w:rsidRPr="00BD2C2E">
        <w:rPr>
          <w:rFonts w:cstheme="minorHAnsi"/>
        </w:rPr>
        <w:t xml:space="preserve"> </w:t>
      </w:r>
      <w:r w:rsidRPr="00BD2C2E">
        <w:rPr>
          <w:rFonts w:cstheme="minorHAnsi"/>
        </w:rPr>
        <w:t>del FSN è stato inferiore a quello dell’inflazione: nel 2022 l’incremento del FSN è stato del 2,9% a fronte di una inflazione dell’8,1%, mentre nel 2023 l’inflazione al 30 settembre acquisita dall’ISTAT è del 5,7% a fronte di un aumento del FSN del 2,8% (</w:t>
      </w:r>
      <w:r w:rsidRPr="00BD2C2E">
        <w:rPr>
          <w:rFonts w:cstheme="minorHAnsi"/>
          <w:highlight w:val="yellow"/>
        </w:rPr>
        <w:t>Figura 2</w:t>
      </w:r>
      <w:r w:rsidRPr="00BD2C2E">
        <w:rPr>
          <w:rFonts w:cstheme="minorHAnsi"/>
        </w:rPr>
        <w:t>).</w:t>
      </w:r>
    </w:p>
    <w:p w14:paraId="62CA73E7" w14:textId="77777777" w:rsidR="00BF3F2C" w:rsidRDefault="00BF3F2C" w:rsidP="00BD2C2E">
      <w:pPr>
        <w:jc w:val="both"/>
        <w:rPr>
          <w:rFonts w:cstheme="minorHAnsi"/>
          <w:b/>
        </w:rPr>
      </w:pPr>
    </w:p>
    <w:p w14:paraId="0BCD56E3" w14:textId="7C53265B" w:rsidR="00BD2C2E" w:rsidRPr="00AC056B" w:rsidRDefault="00BD2C2E" w:rsidP="00BD2C2E">
      <w:pPr>
        <w:jc w:val="both"/>
        <w:rPr>
          <w:rFonts w:cstheme="minorHAnsi"/>
        </w:rPr>
      </w:pPr>
      <w:r w:rsidRPr="00BD2C2E">
        <w:rPr>
          <w:rFonts w:cstheme="minorHAnsi"/>
          <w:b/>
        </w:rPr>
        <w:lastRenderedPageBreak/>
        <w:t>SPESA SANITARIA.</w:t>
      </w:r>
      <w:r w:rsidRPr="00BD2C2E">
        <w:rPr>
          <w:rFonts w:cstheme="minorHAnsi"/>
        </w:rPr>
        <w:t xml:space="preserve"> La spesa sanitaria totale </w:t>
      </w:r>
      <w:r w:rsidR="00F71EC0">
        <w:rPr>
          <w:rFonts w:cstheme="minorHAnsi"/>
        </w:rPr>
        <w:t>(</w:t>
      </w:r>
      <w:r w:rsidRPr="00BD2C2E">
        <w:rPr>
          <w:rFonts w:cstheme="minorHAnsi"/>
        </w:rPr>
        <w:t>sistema ISTAT-SHA</w:t>
      </w:r>
      <w:r w:rsidR="00F71EC0">
        <w:rPr>
          <w:rFonts w:cstheme="minorHAnsi"/>
        </w:rPr>
        <w:t>)</w:t>
      </w:r>
      <w:r w:rsidRPr="00BD2C2E">
        <w:rPr>
          <w:rFonts w:cstheme="minorHAnsi"/>
        </w:rPr>
        <w:t xml:space="preserve"> per il 2022 è pari a € 171.867 milioni di cui € 130.364 milioni di spesa pubblica (75,9%), € 36.835 milioni di spesa out-of-pocket (21,4%), ovvero a carico delle famiglie e € 4.668 milioni di spesa intermediata da fondi sanitari e assicurazioni (2,7%) (</w:t>
      </w:r>
      <w:r w:rsidRPr="00BD2C2E">
        <w:rPr>
          <w:rFonts w:cstheme="minorHAnsi"/>
          <w:highlight w:val="yellow"/>
        </w:rPr>
        <w:t>Figura 3</w:t>
      </w:r>
      <w:r w:rsidRPr="00BD2C2E">
        <w:rPr>
          <w:rFonts w:cstheme="minorHAnsi"/>
        </w:rPr>
        <w:t xml:space="preserve">). </w:t>
      </w:r>
      <w:bookmarkStart w:id="1" w:name="_Hlk147747285"/>
      <w:r w:rsidR="00A54C2F" w:rsidRPr="00BD2C2E">
        <w:rPr>
          <w:rFonts w:cstheme="minorHAnsi"/>
        </w:rPr>
        <w:t>La spesa sanitaria pubblica del nostro Paese nel 2022 si attesta al 6,8% del PIL, sotto di 0,3 punti percentuali sia rispetto alla media OCSE (7,1%) che alla media europea (7,1%). Il gap con la media dei paesi europei dell’area OCSE è di $ 873 pro-capite</w:t>
      </w:r>
      <w:r w:rsidR="00A54C2F">
        <w:rPr>
          <w:rFonts w:cstheme="minorHAnsi"/>
        </w:rPr>
        <w:t xml:space="preserve"> </w:t>
      </w:r>
      <w:r w:rsidR="00A54C2F" w:rsidRPr="00BD2C2E">
        <w:rPr>
          <w:rFonts w:cstheme="minorHAnsi"/>
        </w:rPr>
        <w:t>($ 873</w:t>
      </w:r>
      <w:r w:rsidR="00A54C2F">
        <w:rPr>
          <w:rFonts w:cstheme="minorHAnsi"/>
        </w:rPr>
        <w:t xml:space="preserve">, pari a </w:t>
      </w:r>
      <w:r w:rsidR="00A54C2F" w:rsidRPr="008972A9">
        <w:rPr>
          <w:rFonts w:cstheme="minorHAnsi"/>
        </w:rPr>
        <w:t>€ 829</w:t>
      </w:r>
      <w:r w:rsidR="00A54C2F" w:rsidRPr="00BD2C2E">
        <w:rPr>
          <w:rFonts w:cstheme="minorHAnsi"/>
        </w:rPr>
        <w:t>) (</w:t>
      </w:r>
      <w:r w:rsidR="00A54C2F" w:rsidRPr="00BD2C2E">
        <w:rPr>
          <w:rFonts w:cstheme="minorHAnsi"/>
          <w:highlight w:val="yellow"/>
        </w:rPr>
        <w:t>Figura</w:t>
      </w:r>
      <w:r w:rsidR="00A54C2F" w:rsidRPr="006051D7">
        <w:rPr>
          <w:rFonts w:cstheme="minorHAnsi"/>
          <w:highlight w:val="yellow"/>
        </w:rPr>
        <w:t xml:space="preserve"> 4</w:t>
      </w:r>
      <w:r w:rsidR="00A54C2F" w:rsidRPr="00BD2C2E">
        <w:rPr>
          <w:rFonts w:cstheme="minorHAnsi"/>
        </w:rPr>
        <w:t>) che, tenendo conto di una popolazione residente ISTAT al 1° gennaio 2023 di oltre 58,8 milioni di abitanti, per l’anno 2022 corrisponde ad un gap di quasi $ 51,4 miliardi</w:t>
      </w:r>
      <w:r w:rsidR="00A54C2F">
        <w:rPr>
          <w:rFonts w:cstheme="minorHAnsi"/>
        </w:rPr>
        <w:t xml:space="preserve">, pari a € </w:t>
      </w:r>
      <w:r w:rsidR="00A54C2F" w:rsidRPr="008972A9">
        <w:rPr>
          <w:rFonts w:cstheme="minorHAnsi"/>
        </w:rPr>
        <w:t xml:space="preserve">48,8 </w:t>
      </w:r>
      <w:r w:rsidR="00A54C2F">
        <w:rPr>
          <w:rFonts w:cstheme="minorHAnsi"/>
        </w:rPr>
        <w:t>miliardi</w:t>
      </w:r>
      <w:r w:rsidR="00A54C2F" w:rsidRPr="00BD2C2E">
        <w:rPr>
          <w:rFonts w:cstheme="minorHAnsi"/>
        </w:rPr>
        <w:t xml:space="preserve">. Il progressivo aumento del gap della spesa sanitaria con la media dei paesi europei è </w:t>
      </w:r>
      <w:r w:rsidR="00A54C2F">
        <w:rPr>
          <w:rFonts w:cstheme="minorHAnsi"/>
        </w:rPr>
        <w:t xml:space="preserve">perfettamente </w:t>
      </w:r>
      <w:r w:rsidR="00A54C2F" w:rsidRPr="00BD2C2E">
        <w:rPr>
          <w:rFonts w:cstheme="minorHAnsi"/>
        </w:rPr>
        <w:t>in linea con l’entità del definanziamento pubblico relativo al decennio 2010-2019, ma poi si è sorprendentemente ampliato nel triennio 2020-2022 durante l’emergenza pandemica. Complessivamente, rispetto alla media dei paesi europei, nel periodo 2010-2022 la spesa sanitaria pubblica italiana è stata inferiore di $ 363 miliardi</w:t>
      </w:r>
      <w:r w:rsidR="00A54C2F">
        <w:rPr>
          <w:rFonts w:cstheme="minorHAnsi"/>
        </w:rPr>
        <w:t xml:space="preserve"> (pari a </w:t>
      </w:r>
      <w:r w:rsidR="00A54C2F" w:rsidRPr="008972A9">
        <w:rPr>
          <w:rFonts w:cstheme="minorHAnsi"/>
        </w:rPr>
        <w:t>€ 345 miliardi</w:t>
      </w:r>
      <w:r w:rsidR="00A54C2F">
        <w:rPr>
          <w:rFonts w:cstheme="minorHAnsi"/>
        </w:rPr>
        <w:t>)</w:t>
      </w:r>
      <w:r w:rsidR="00A54C2F" w:rsidRPr="00BD2C2E">
        <w:rPr>
          <w:rFonts w:cstheme="minorHAnsi"/>
        </w:rPr>
        <w:t xml:space="preserve"> (</w:t>
      </w:r>
      <w:r w:rsidR="00A54C2F" w:rsidRPr="00BD2C2E">
        <w:rPr>
          <w:rFonts w:cstheme="minorHAnsi"/>
          <w:highlight w:val="yellow"/>
        </w:rPr>
        <w:t xml:space="preserve">Figura </w:t>
      </w:r>
      <w:r w:rsidR="00A54C2F">
        <w:rPr>
          <w:rFonts w:cstheme="minorHAnsi"/>
          <w:highlight w:val="yellow"/>
        </w:rPr>
        <w:t>5</w:t>
      </w:r>
      <w:r w:rsidR="00A54C2F" w:rsidRPr="00BD2C2E">
        <w:rPr>
          <w:rFonts w:cstheme="minorHAnsi"/>
        </w:rPr>
        <w:t>). E, per colmare il divario pro-capite con la media dei paesi europei attestato nel 2022 ($ 873</w:t>
      </w:r>
      <w:r w:rsidR="00A54C2F">
        <w:rPr>
          <w:rFonts w:cstheme="minorHAnsi"/>
        </w:rPr>
        <w:t xml:space="preserve">, pari a </w:t>
      </w:r>
      <w:r w:rsidR="00A54C2F" w:rsidRPr="008972A9">
        <w:rPr>
          <w:rFonts w:cstheme="minorHAnsi"/>
        </w:rPr>
        <w:t>€ 829</w:t>
      </w:r>
      <w:r w:rsidR="00A54C2F" w:rsidRPr="00BD2C2E">
        <w:rPr>
          <w:rFonts w:cstheme="minorHAnsi"/>
        </w:rPr>
        <w:t xml:space="preserve">), al 2030 </w:t>
      </w:r>
      <w:r w:rsidR="00A54C2F">
        <w:rPr>
          <w:rFonts w:cstheme="minorHAnsi"/>
        </w:rPr>
        <w:t xml:space="preserve">si stima un </w:t>
      </w:r>
      <w:r w:rsidR="00A54C2F" w:rsidRPr="00BD2C2E">
        <w:rPr>
          <w:rFonts w:cstheme="minorHAnsi"/>
        </w:rPr>
        <w:t>increment</w:t>
      </w:r>
      <w:r w:rsidR="00A54C2F">
        <w:rPr>
          <w:rFonts w:cstheme="minorHAnsi"/>
        </w:rPr>
        <w:t>o totale</w:t>
      </w:r>
      <w:r w:rsidR="00A54C2F" w:rsidRPr="00BD2C2E">
        <w:rPr>
          <w:rFonts w:cstheme="minorHAnsi"/>
        </w:rPr>
        <w:t xml:space="preserve"> di $ 122 miliardi</w:t>
      </w:r>
      <w:r w:rsidR="00A54C2F">
        <w:rPr>
          <w:rFonts w:cstheme="minorHAnsi"/>
        </w:rPr>
        <w:t xml:space="preserve"> (pari a </w:t>
      </w:r>
      <w:r w:rsidR="00A54C2F" w:rsidRPr="008972A9">
        <w:rPr>
          <w:rFonts w:cstheme="minorHAnsi"/>
        </w:rPr>
        <w:t xml:space="preserve">€ </w:t>
      </w:r>
      <w:r w:rsidR="00A54C2F">
        <w:rPr>
          <w:rFonts w:cstheme="minorHAnsi"/>
        </w:rPr>
        <w:t>115,9</w:t>
      </w:r>
      <w:r w:rsidR="00A54C2F" w:rsidRPr="008972A9">
        <w:rPr>
          <w:rFonts w:cstheme="minorHAnsi"/>
        </w:rPr>
        <w:t xml:space="preserve"> miliardi</w:t>
      </w:r>
      <w:r w:rsidR="00A54C2F">
        <w:rPr>
          <w:rFonts w:cstheme="minorHAnsi"/>
        </w:rPr>
        <w:t xml:space="preserve">), ovvero </w:t>
      </w:r>
      <w:r w:rsidR="00A54C2F" w:rsidRPr="00BD2C2E">
        <w:rPr>
          <w:rFonts w:cstheme="minorHAnsi"/>
        </w:rPr>
        <w:t>a partire dal</w:t>
      </w:r>
      <w:r w:rsidR="00A54C2F">
        <w:rPr>
          <w:rFonts w:cstheme="minorHAnsi"/>
        </w:rPr>
        <w:t xml:space="preserve"> 2023</w:t>
      </w:r>
      <w:r w:rsidR="00A54C2F" w:rsidRPr="00BD2C2E">
        <w:rPr>
          <w:rFonts w:cstheme="minorHAnsi"/>
        </w:rPr>
        <w:t xml:space="preserve"> </w:t>
      </w:r>
      <w:r w:rsidR="00A54C2F">
        <w:rPr>
          <w:rFonts w:cstheme="minorHAnsi"/>
        </w:rPr>
        <w:t>un finanziamento</w:t>
      </w:r>
      <w:r w:rsidR="00A54C2F" w:rsidRPr="00BD2C2E">
        <w:rPr>
          <w:rFonts w:cstheme="minorHAnsi"/>
        </w:rPr>
        <w:t xml:space="preserve"> costante di $ 15,25 miliardi</w:t>
      </w:r>
      <w:r w:rsidR="00A54C2F">
        <w:rPr>
          <w:rFonts w:cstheme="minorHAnsi"/>
        </w:rPr>
        <w:t>, pari a € 14,49 miliardi</w:t>
      </w:r>
      <w:r w:rsidR="00A54C2F" w:rsidRPr="00BD2C2E">
        <w:rPr>
          <w:rFonts w:cstheme="minorHAnsi"/>
        </w:rPr>
        <w:t xml:space="preserve"> per anno (</w:t>
      </w:r>
      <w:r w:rsidR="00A54C2F" w:rsidRPr="00BD2C2E">
        <w:rPr>
          <w:rFonts w:cstheme="minorHAnsi"/>
          <w:highlight w:val="yellow"/>
        </w:rPr>
        <w:t xml:space="preserve">Figura </w:t>
      </w:r>
      <w:r w:rsidR="00A54C2F" w:rsidRPr="006051D7">
        <w:rPr>
          <w:rFonts w:cstheme="minorHAnsi"/>
          <w:highlight w:val="yellow"/>
        </w:rPr>
        <w:t>6</w:t>
      </w:r>
      <w:r w:rsidR="00A54C2F" w:rsidRPr="00BD2C2E">
        <w:rPr>
          <w:rFonts w:cstheme="minorHAnsi"/>
        </w:rPr>
        <w:t>).</w:t>
      </w:r>
      <w:r w:rsidR="00A54C2F">
        <w:rPr>
          <w:rFonts w:cstheme="minorHAnsi"/>
        </w:rPr>
        <w:t xml:space="preserve"> </w:t>
      </w:r>
      <w:r w:rsidR="00DA1D51" w:rsidRPr="00D26331">
        <w:rPr>
          <w:rFonts w:cstheme="minorHAnsi"/>
        </w:rPr>
        <w:t>«</w:t>
      </w:r>
      <w:r w:rsidR="00DA1D51">
        <w:rPr>
          <w:rFonts w:cstheme="minorHAnsi"/>
        </w:rPr>
        <w:t xml:space="preserve">Se </w:t>
      </w:r>
      <w:r w:rsidR="00F71EC0">
        <w:rPr>
          <w:rFonts w:cstheme="minorHAnsi"/>
        </w:rPr>
        <w:t xml:space="preserve">queste cifre </w:t>
      </w:r>
      <w:r w:rsidR="00DA1D51">
        <w:rPr>
          <w:rFonts w:cstheme="minorHAnsi"/>
        </w:rPr>
        <w:t xml:space="preserve">da un lato </w:t>
      </w:r>
      <w:r w:rsidR="00F71EC0">
        <w:rPr>
          <w:rFonts w:cstheme="minorHAnsi"/>
        </w:rPr>
        <w:t>sono palesemente</w:t>
      </w:r>
      <w:r w:rsidR="00DA1D51">
        <w:rPr>
          <w:rFonts w:cstheme="minorHAnsi"/>
        </w:rPr>
        <w:t xml:space="preserve"> irraggiungibili per la nostra finanza pubblica </w:t>
      </w:r>
      <w:r w:rsidR="00F71EC0">
        <w:rPr>
          <w:rFonts w:cstheme="minorHAnsi"/>
        </w:rPr>
        <w:t xml:space="preserve">– ha commentato Cartabellotta – </w:t>
      </w:r>
      <w:r w:rsidR="00DA1D51">
        <w:rPr>
          <w:rFonts w:cstheme="minorHAnsi"/>
        </w:rPr>
        <w:t xml:space="preserve">dall’altro forniscono la dimensione di quanto tutti i Governi abbiano utilizzato la spesa sanitaria come un bancomat, </w:t>
      </w:r>
      <w:r w:rsidR="00DA1D51" w:rsidRPr="00DA1D51">
        <w:rPr>
          <w:rFonts w:cstheme="minorHAnsi"/>
        </w:rPr>
        <w:t>dirottando le risorse su altre priorità mirate a soddisfare il proprio elettorato</w:t>
      </w:r>
      <w:r w:rsidR="00FD1B57">
        <w:rPr>
          <w:rFonts w:cstheme="minorHAnsi"/>
        </w:rPr>
        <w:t xml:space="preserve">. Considerando </w:t>
      </w:r>
      <w:r w:rsidR="00FD1B57" w:rsidRPr="00A163EC">
        <w:t>sempre la spesa sanitaria come un costo e mai come un investimento</w:t>
      </w:r>
      <w:r w:rsidR="00FD1B57">
        <w:t xml:space="preserve"> e</w:t>
      </w:r>
      <w:r w:rsidR="00FD1B57" w:rsidRPr="00A163EC">
        <w:t xml:space="preserve"> ignorando che la salute e il benessere della popolazione condizionano la crescita del PIL</w:t>
      </w:r>
      <w:r w:rsidR="00DA1D51" w:rsidRPr="00D26331">
        <w:rPr>
          <w:rFonts w:cstheme="minorHAnsi"/>
        </w:rPr>
        <w:t>»</w:t>
      </w:r>
      <w:r w:rsidR="00DA1D51" w:rsidRPr="00BD2C2E">
        <w:rPr>
          <w:rFonts w:cstheme="minorHAnsi"/>
        </w:rPr>
        <w:t xml:space="preserve">. </w:t>
      </w:r>
      <w:bookmarkEnd w:id="1"/>
    </w:p>
    <w:p w14:paraId="5F8B0081" w14:textId="20C49D9D" w:rsidR="00AC056B" w:rsidRPr="00BD2C2E" w:rsidRDefault="00BD2C2E" w:rsidP="00BD2C2E">
      <w:pPr>
        <w:jc w:val="both"/>
        <w:rPr>
          <w:rFonts w:cstheme="minorHAnsi"/>
        </w:rPr>
      </w:pPr>
      <w:r w:rsidRPr="00BD2C2E">
        <w:rPr>
          <w:rFonts w:cstheme="minorHAnsi"/>
          <w:b/>
          <w:bCs/>
        </w:rPr>
        <w:t>LIVELLI ESSENZIALI DI ASSISTENZA</w:t>
      </w:r>
      <w:r w:rsidR="00645F79" w:rsidRPr="00BD2C2E">
        <w:rPr>
          <w:rFonts w:cstheme="minorHAnsi"/>
        </w:rPr>
        <w:t xml:space="preserve">. </w:t>
      </w:r>
      <w:r w:rsidR="00A90AD0" w:rsidRPr="00BD2C2E">
        <w:rPr>
          <w:rFonts w:cstheme="minorHAnsi"/>
        </w:rPr>
        <w:t>L’obiettivo dichiarato di “</w:t>
      </w:r>
      <w:r w:rsidR="00A90AD0" w:rsidRPr="00DA1D51">
        <w:rPr>
          <w:rFonts w:cstheme="minorHAnsi"/>
          <w:i/>
          <w:iCs/>
        </w:rPr>
        <w:t>continuo aggiornamento dei LEA, con proposta di esclusione di prestazioni, servizi o attività divenuti obsoleti e di inclusione di prestazioni innovative ed efficaci, al fine di mantenere allineati i LEA all’evoluzione delle conoscenze scientifiche</w:t>
      </w:r>
      <w:r w:rsidR="00A90AD0" w:rsidRPr="00BD2C2E">
        <w:rPr>
          <w:rFonts w:cstheme="minorHAnsi"/>
        </w:rPr>
        <w:t>” non è mai stato raggiunto. Il ritardo di oltre 6 anni</w:t>
      </w:r>
      <w:r w:rsidR="00766121" w:rsidRPr="00BD2C2E">
        <w:rPr>
          <w:rFonts w:cstheme="minorHAnsi"/>
        </w:rPr>
        <w:t xml:space="preserve"> e mezzo </w:t>
      </w:r>
      <w:r w:rsidR="00A90AD0" w:rsidRPr="00BD2C2E">
        <w:rPr>
          <w:rFonts w:cstheme="minorHAnsi"/>
        </w:rPr>
        <w:t xml:space="preserve">nell’approvazione del Decreto Tariffe ha reso impossibile </w:t>
      </w:r>
      <w:r w:rsidR="00AC056B">
        <w:rPr>
          <w:rFonts w:cstheme="minorHAnsi"/>
        </w:rPr>
        <w:t xml:space="preserve">sia ratificare i 29 </w:t>
      </w:r>
      <w:r w:rsidR="00A90AD0" w:rsidRPr="00BD2C2E">
        <w:rPr>
          <w:rFonts w:cstheme="minorHAnsi"/>
        </w:rPr>
        <w:t>aggiornamenti proposti dalla Commissione LEA</w:t>
      </w:r>
      <w:r w:rsidR="00AC056B">
        <w:rPr>
          <w:rFonts w:cstheme="minorHAnsi"/>
        </w:rPr>
        <w:t xml:space="preserve">, sia </w:t>
      </w:r>
      <w:r w:rsidR="00A90AD0" w:rsidRPr="00BD2C2E">
        <w:rPr>
          <w:rFonts w:cstheme="minorHAnsi"/>
        </w:rPr>
        <w:t xml:space="preserve">l’esigibilità delle prestazioni di specialistica ambulatoriale e di protesica inserite nei “nuovi LEA”. </w:t>
      </w:r>
      <w:r w:rsidR="00E50FBC" w:rsidRPr="00BD2C2E">
        <w:rPr>
          <w:rFonts w:cstheme="minorHAnsi"/>
        </w:rPr>
        <w:t>Quest</w:t>
      </w:r>
      <w:r w:rsidR="00E50FBC">
        <w:rPr>
          <w:rFonts w:cstheme="minorHAnsi"/>
        </w:rPr>
        <w:t xml:space="preserve">e </w:t>
      </w:r>
      <w:r w:rsidR="00E50FBC" w:rsidRPr="00BD2C2E">
        <w:rPr>
          <w:rFonts w:cstheme="minorHAnsi"/>
        </w:rPr>
        <w:t>ultime</w:t>
      </w:r>
      <w:r w:rsidR="00A90AD0" w:rsidRPr="00BD2C2E">
        <w:rPr>
          <w:rFonts w:cstheme="minorHAnsi"/>
        </w:rPr>
        <w:t>,</w:t>
      </w:r>
      <w:r w:rsidR="00F557E9">
        <w:rPr>
          <w:rFonts w:cstheme="minorHAnsi"/>
        </w:rPr>
        <w:t xml:space="preserve"> ha spiegato il Presidente </w:t>
      </w:r>
      <w:r w:rsidR="00F557E9" w:rsidRPr="00D26331">
        <w:rPr>
          <w:rFonts w:cstheme="minorHAnsi"/>
        </w:rPr>
        <w:t>«</w:t>
      </w:r>
      <w:r w:rsidR="00A90AD0" w:rsidRPr="00BD2C2E">
        <w:rPr>
          <w:rFonts w:cstheme="minorHAnsi"/>
        </w:rPr>
        <w:t>nonostante la pubblicazione del D</w:t>
      </w:r>
      <w:r w:rsidR="00DA1D51">
        <w:rPr>
          <w:rFonts w:cstheme="minorHAnsi"/>
        </w:rPr>
        <w:t xml:space="preserve">M </w:t>
      </w:r>
      <w:r w:rsidR="00A90AD0" w:rsidRPr="00BD2C2E">
        <w:rPr>
          <w:rFonts w:cstheme="minorHAnsi"/>
        </w:rPr>
        <w:t xml:space="preserve">Tariffe il 4 agosto 2023, </w:t>
      </w:r>
      <w:r w:rsidR="00927747" w:rsidRPr="00BD2C2E">
        <w:rPr>
          <w:rFonts w:cstheme="minorHAnsi"/>
        </w:rPr>
        <w:t xml:space="preserve">rimarranno ancora in stand-by </w:t>
      </w:r>
      <w:r w:rsidR="00DA1D51">
        <w:rPr>
          <w:rFonts w:cstheme="minorHAnsi"/>
        </w:rPr>
        <w:t>sino al</w:t>
      </w:r>
      <w:r w:rsidR="00A90AD0" w:rsidRPr="00BD2C2E">
        <w:rPr>
          <w:rFonts w:cstheme="minorHAnsi"/>
        </w:rPr>
        <w:t xml:space="preserve"> 1° gennaio 2024 per la specialistica ambulatoriale e al 1° aprile 2024 per l’assistenza protesica</w:t>
      </w:r>
      <w:r w:rsidR="00F557E9" w:rsidRPr="00D26331">
        <w:rPr>
          <w:rFonts w:cstheme="minorHAnsi"/>
        </w:rPr>
        <w:t>»</w:t>
      </w:r>
      <w:r w:rsidR="00A90AD0" w:rsidRPr="00BD2C2E">
        <w:rPr>
          <w:rFonts w:cstheme="minorHAnsi"/>
        </w:rPr>
        <w:t>.</w:t>
      </w:r>
      <w:r w:rsidR="00984E46">
        <w:rPr>
          <w:rFonts w:cstheme="minorHAnsi"/>
        </w:rPr>
        <w:t xml:space="preserve"> </w:t>
      </w:r>
      <w:r w:rsidR="00AC056B" w:rsidRPr="00AC056B">
        <w:rPr>
          <w:rFonts w:cstheme="minorHAnsi"/>
        </w:rPr>
        <w:t xml:space="preserve">La sezione sul monitoraggio dei LEA analizza in dettaglio l’adempimento al mantenimento dei LEA, effettuata con la “griglia LEA” per il periodo 2010-2019 e tramite il Nuovo Sistema di Garanzia per gli anni 2020-2021. Tutte le analisi </w:t>
      </w:r>
      <w:r w:rsidR="00F306A2">
        <w:rPr>
          <w:rFonts w:cstheme="minorHAnsi"/>
        </w:rPr>
        <w:t>confermano</w:t>
      </w:r>
      <w:r w:rsidR="00F306A2" w:rsidRPr="00AC056B">
        <w:rPr>
          <w:rFonts w:cstheme="minorHAnsi"/>
        </w:rPr>
        <w:t xml:space="preserve"> </w:t>
      </w:r>
      <w:r w:rsidR="00AC056B" w:rsidRPr="00AC056B">
        <w:rPr>
          <w:rFonts w:cstheme="minorHAnsi"/>
        </w:rPr>
        <w:t>una vera e propria “frattura strutturale” tra Nord e Sud: negli adempimenti cumulativi 2010-2019 nessuna Regione meridionale si posiziona tra le prime 10. Nel 2020 l’unica Regione del sud tra le 11 adempienti è la Puglia; nel 2021 delle 14 adempienti solo 3 sono del Sud: Abruzzo, Puglia e Basilicata</w:t>
      </w:r>
      <w:r w:rsidR="00AC056B">
        <w:rPr>
          <w:rFonts w:cstheme="minorHAnsi"/>
        </w:rPr>
        <w:t xml:space="preserve"> (</w:t>
      </w:r>
      <w:r w:rsidR="00871FE1" w:rsidRPr="00AC056B">
        <w:rPr>
          <w:rFonts w:cstheme="minorHAnsi"/>
          <w:highlight w:val="yellow"/>
        </w:rPr>
        <w:t xml:space="preserve">Figura </w:t>
      </w:r>
      <w:r w:rsidR="00871FE1">
        <w:rPr>
          <w:rFonts w:cstheme="minorHAnsi"/>
          <w:highlight w:val="yellow"/>
        </w:rPr>
        <w:t>7</w:t>
      </w:r>
      <w:r w:rsidR="00AC056B">
        <w:rPr>
          <w:rFonts w:cstheme="minorHAnsi"/>
        </w:rPr>
        <w:t>)</w:t>
      </w:r>
      <w:r w:rsidR="00AC056B" w:rsidRPr="00AC056B">
        <w:rPr>
          <w:rFonts w:cstheme="minorHAnsi"/>
        </w:rPr>
        <w:t>. Sia nel 2020 che nel 2021 le Regioni meridionali sono ultime tra quelle adempienti. Il focus sulla mobilità sanitaria documenta che i flussi economici scorrono prevalentemente da Sud a Nord</w:t>
      </w:r>
      <w:r w:rsidR="00F557E9">
        <w:rPr>
          <w:rFonts w:cstheme="minorHAnsi"/>
        </w:rPr>
        <w:t>: i</w:t>
      </w:r>
      <w:r w:rsidR="00AC056B" w:rsidRPr="00AC056B">
        <w:rPr>
          <w:rFonts w:cstheme="minorHAnsi"/>
        </w:rPr>
        <w:t>n particolare nel 2020, Emilia-Romagna, Lombardia e Veneto “cubano” complessivamente il 94,1% del saldo di mobilità attiva.</w:t>
      </w:r>
    </w:p>
    <w:p w14:paraId="729F3DFC" w14:textId="02EE665C" w:rsidR="00766121" w:rsidRDefault="00BD2C2E" w:rsidP="00BD2C2E">
      <w:pPr>
        <w:jc w:val="both"/>
        <w:rPr>
          <w:rFonts w:cstheme="minorHAnsi"/>
        </w:rPr>
      </w:pPr>
      <w:r w:rsidRPr="00BD2C2E">
        <w:rPr>
          <w:rFonts w:cstheme="minorHAnsi"/>
          <w:b/>
          <w:bCs/>
        </w:rPr>
        <w:t>REGIONALISMO DIFFERENZIATO</w:t>
      </w:r>
      <w:r w:rsidR="00645F79" w:rsidRPr="00BD2C2E">
        <w:rPr>
          <w:rFonts w:cstheme="minorHAnsi"/>
        </w:rPr>
        <w:t>.</w:t>
      </w:r>
      <w:r w:rsidR="0061690D" w:rsidRPr="00BD2C2E">
        <w:rPr>
          <w:rFonts w:cstheme="minorHAnsi"/>
        </w:rPr>
        <w:t xml:space="preserve"> </w:t>
      </w:r>
      <w:r w:rsidR="002576D2">
        <w:rPr>
          <w:rFonts w:cstheme="minorHAnsi"/>
        </w:rPr>
        <w:t xml:space="preserve">La </w:t>
      </w:r>
      <w:r w:rsidR="00927747" w:rsidRPr="00BD2C2E">
        <w:rPr>
          <w:rFonts w:cstheme="minorHAnsi"/>
        </w:rPr>
        <w:t xml:space="preserve">“frattura strutturale” </w:t>
      </w:r>
      <w:r w:rsidR="002576D2">
        <w:rPr>
          <w:rFonts w:cstheme="minorHAnsi"/>
        </w:rPr>
        <w:t xml:space="preserve">tra Nord e Sud </w:t>
      </w:r>
      <w:r w:rsidR="00927747" w:rsidRPr="00BD2C2E">
        <w:rPr>
          <w:rFonts w:cstheme="minorHAnsi"/>
        </w:rPr>
        <w:t>compromette l’equità di accesso ai servizi sanitari e gli esiti di salute</w:t>
      </w:r>
      <w:r w:rsidR="002576D2">
        <w:rPr>
          <w:rFonts w:cstheme="minorHAnsi"/>
        </w:rPr>
        <w:t xml:space="preserve"> e</w:t>
      </w:r>
      <w:r w:rsidR="00927747" w:rsidRPr="00BD2C2E">
        <w:rPr>
          <w:rFonts w:cstheme="minorHAnsi"/>
        </w:rPr>
        <w:t xml:space="preserve"> alimenta un imponente flusso di mobilità sanitaria dalle Regioni meridionali a quelle settentrionali. Di conseguenza, l’attuazione di maggiori autonomie in sanità, richieste proprio dalle Regioni con le migliori performance sanitarie e maggior capacità di attrazione, non potrà che amplificare le diseguaglianze registrate già con la semplice competenza concorrente in tema di tutela della salute.</w:t>
      </w:r>
      <w:r w:rsidR="00AC056B">
        <w:rPr>
          <w:rFonts w:cstheme="minorHAnsi"/>
        </w:rPr>
        <w:t xml:space="preserve"> </w:t>
      </w:r>
      <w:r w:rsidR="00F306A2" w:rsidRPr="00D26331">
        <w:rPr>
          <w:rFonts w:cstheme="minorHAnsi"/>
        </w:rPr>
        <w:t>«</w:t>
      </w:r>
      <w:r w:rsidR="00AC056B">
        <w:rPr>
          <w:rFonts w:cstheme="minorHAnsi"/>
        </w:rPr>
        <w:t xml:space="preserve">Ecco perché </w:t>
      </w:r>
      <w:r w:rsidR="00F306A2">
        <w:rPr>
          <w:rFonts w:cstheme="minorHAnsi"/>
        </w:rPr>
        <w:t xml:space="preserve">– </w:t>
      </w:r>
      <w:r w:rsidR="00AC056B">
        <w:rPr>
          <w:rFonts w:cstheme="minorHAnsi"/>
        </w:rPr>
        <w:t xml:space="preserve">ha ribadito Cartabellotta </w:t>
      </w:r>
      <w:r w:rsidR="00F306A2">
        <w:rPr>
          <w:rFonts w:cstheme="minorHAnsi"/>
        </w:rPr>
        <w:t xml:space="preserve">– </w:t>
      </w:r>
      <w:r w:rsidR="00AC056B" w:rsidRPr="00AC056B">
        <w:rPr>
          <w:rFonts w:cstheme="minorHAnsi"/>
        </w:rPr>
        <w:t>in audizione presso la 1</w:t>
      </w:r>
      <w:r w:rsidR="00AC056B" w:rsidRPr="00CC3536">
        <w:rPr>
          <w:rFonts w:cstheme="minorHAnsi"/>
          <w:vertAlign w:val="superscript"/>
        </w:rPr>
        <w:t>a</w:t>
      </w:r>
      <w:r w:rsidR="00AC056B" w:rsidRPr="00AC056B">
        <w:rPr>
          <w:rFonts w:cstheme="minorHAnsi"/>
        </w:rPr>
        <w:t xml:space="preserve"> Commissione Affari Costituzionali del Senato della Repubblica</w:t>
      </w:r>
      <w:r w:rsidR="00AC056B">
        <w:rPr>
          <w:rFonts w:cstheme="minorHAnsi"/>
        </w:rPr>
        <w:t xml:space="preserve"> abbiamo proposto di espungere</w:t>
      </w:r>
      <w:r w:rsidR="00AC056B" w:rsidRPr="00AC056B">
        <w:rPr>
          <w:rFonts w:cstheme="minorHAnsi"/>
        </w:rPr>
        <w:t xml:space="preserve"> la tutela della salute dalle materie su cui le Regioni possono richiedere </w:t>
      </w:r>
      <w:r w:rsidR="00AC056B">
        <w:rPr>
          <w:rFonts w:cstheme="minorHAnsi"/>
        </w:rPr>
        <w:t>maggiori autonomie</w:t>
      </w:r>
      <w:r w:rsidR="00AC056B" w:rsidRPr="00AC056B">
        <w:rPr>
          <w:rFonts w:cstheme="minorHAnsi"/>
        </w:rPr>
        <w:t>, perché l’autonomia differenziata in sanità legittimerebbe normativamente il divario tra Nord e Sud, violando il principio costituzionale di uguaglianza dei cittadini nel diritto alla tutela della salute</w:t>
      </w:r>
      <w:r w:rsidR="00AC056B" w:rsidRPr="00D26331">
        <w:rPr>
          <w:rFonts w:cstheme="minorHAnsi"/>
        </w:rPr>
        <w:t>».</w:t>
      </w:r>
    </w:p>
    <w:p w14:paraId="6219E6AE" w14:textId="3EFA471D" w:rsidR="00AC056B" w:rsidRDefault="00AC056B" w:rsidP="00AC056B">
      <w:pPr>
        <w:jc w:val="both"/>
        <w:rPr>
          <w:rFonts w:cstheme="minorHAnsi"/>
        </w:rPr>
      </w:pPr>
      <w:r w:rsidRPr="00BD2C2E">
        <w:rPr>
          <w:rFonts w:cstheme="minorHAnsi"/>
          <w:b/>
          <w:bCs/>
        </w:rPr>
        <w:lastRenderedPageBreak/>
        <w:t>PERSONALE DIPENDENTE</w:t>
      </w:r>
      <w:r w:rsidR="001B46A1">
        <w:rPr>
          <w:rFonts w:cstheme="minorHAnsi"/>
          <w:bCs/>
        </w:rPr>
        <w:t xml:space="preserve">. </w:t>
      </w:r>
      <w:r w:rsidR="001B46A1" w:rsidRPr="00D26331">
        <w:rPr>
          <w:rFonts w:cstheme="minorHAnsi"/>
        </w:rPr>
        <w:t>«</w:t>
      </w:r>
      <w:r w:rsidR="001B46A1" w:rsidRPr="001B46A1">
        <w:rPr>
          <w:rFonts w:cstheme="minorHAnsi"/>
        </w:rPr>
        <w:t xml:space="preserve">Le fonti disponibili </w:t>
      </w:r>
      <w:r w:rsidR="001B46A1">
        <w:rPr>
          <w:rFonts w:cstheme="minorHAnsi"/>
        </w:rPr>
        <w:t xml:space="preserve">– spiega Cartabellotta – </w:t>
      </w:r>
      <w:r w:rsidR="001B46A1" w:rsidRPr="001B46A1">
        <w:rPr>
          <w:rFonts w:cstheme="minorHAnsi"/>
        </w:rPr>
        <w:t>non permettono di analizzare in maniera univoca, sistematica e aggiornata la reale “forza lavoro” del SSN impegnata nell’erogazione dei LEA. Inoltre, i dati relativi al 2021 verosimilmente sottostimano la carenza di personale, in conseguenza di licenziamenti volontari e pensionamenti anticipati negli anni 2022-2023. Ancora</w:t>
      </w:r>
      <w:r w:rsidR="00581465">
        <w:rPr>
          <w:rFonts w:cstheme="minorHAnsi"/>
        </w:rPr>
        <w:t>,</w:t>
      </w:r>
      <w:r w:rsidR="001B46A1" w:rsidRPr="001B46A1">
        <w:rPr>
          <w:rFonts w:cstheme="minorHAnsi"/>
        </w:rPr>
        <w:t xml:space="preserve"> le differenze regionali sono molto rilevanti, in particolare per il personale infermieristico, maggiormente sacrificato nelle Regioni in Piano di rientro. Infine, i benchmark internazionali relativi a medici e infermieri collocano il nostro Paese poco sopra la media OCSE per i medici e molto al di sotto per il personale infermieristico, restituendo di conseguenza un rapporto infermieri/medici tra i più bassi d’Europa</w:t>
      </w:r>
      <w:r w:rsidR="00F82346" w:rsidRPr="00D26331">
        <w:rPr>
          <w:rFonts w:cstheme="minorHAnsi"/>
        </w:rPr>
        <w:t>».</w:t>
      </w:r>
    </w:p>
    <w:p w14:paraId="16B37E0D" w14:textId="30C3524F" w:rsidR="00EE47A2" w:rsidRDefault="00EE47A2" w:rsidP="00EE47A2">
      <w:pPr>
        <w:pStyle w:val="Paragrafoelenco"/>
        <w:numPr>
          <w:ilvl w:val="0"/>
          <w:numId w:val="37"/>
        </w:numPr>
        <w:spacing w:line="276" w:lineRule="auto"/>
        <w:jc w:val="both"/>
        <w:rPr>
          <w:rFonts w:cstheme="minorHAnsi"/>
        </w:rPr>
      </w:pPr>
      <w:r w:rsidRPr="00EE47A2">
        <w:rPr>
          <w:rFonts w:cstheme="minorHAnsi"/>
          <w:b/>
          <w:bCs/>
        </w:rPr>
        <w:t>Medici</w:t>
      </w:r>
      <w:r w:rsidRPr="00EE47A2">
        <w:rPr>
          <w:rFonts w:cstheme="minorHAnsi"/>
        </w:rPr>
        <w:t>. Nel 2021 sono 124.506 i medici che lavorano nelle strutture sanitarie: 102.491 dipendenti del SSN e 22.015 dipendenti delle strutture equiparate al SSN. La media nazionale è di 2,11 medici per 1.000 abitanti, con un range che varia dagli 1,84 di Campania e Veneto a 2,56 della Toscana con un gap del 39,1%</w:t>
      </w:r>
      <w:r>
        <w:rPr>
          <w:rFonts w:cstheme="minorHAnsi"/>
        </w:rPr>
        <w:t xml:space="preserve"> (</w:t>
      </w:r>
      <w:r w:rsidRPr="00C055DB">
        <w:rPr>
          <w:rFonts w:cstheme="minorHAnsi"/>
          <w:highlight w:val="yellow"/>
        </w:rPr>
        <w:t xml:space="preserve">Figura </w:t>
      </w:r>
      <w:r w:rsidR="00871FE1">
        <w:rPr>
          <w:rFonts w:cstheme="minorHAnsi"/>
          <w:highlight w:val="yellow"/>
        </w:rPr>
        <w:t>8</w:t>
      </w:r>
      <w:r>
        <w:rPr>
          <w:rFonts w:cstheme="minorHAnsi"/>
        </w:rPr>
        <w:t>)</w:t>
      </w:r>
      <w:r w:rsidRPr="00EE47A2">
        <w:rPr>
          <w:rFonts w:cstheme="minorHAnsi"/>
        </w:rPr>
        <w:t xml:space="preserve">. L’Italia si colloca sopra la media OCSE (4,1 vs 3,7 medici per 1.000 abitanti), ma con </w:t>
      </w:r>
      <w:r w:rsidR="00581465">
        <w:rPr>
          <w:rFonts w:cstheme="minorHAnsi"/>
        </w:rPr>
        <w:t xml:space="preserve">un </w:t>
      </w:r>
      <w:r w:rsidRPr="00EE47A2">
        <w:rPr>
          <w:rFonts w:cstheme="minorHAnsi"/>
        </w:rPr>
        <w:t xml:space="preserve">gap un rilevante tra i medici attivi e quelli in quota al SSN. </w:t>
      </w:r>
    </w:p>
    <w:p w14:paraId="7EF76E38" w14:textId="081D05B2" w:rsidR="00EE47A2" w:rsidRDefault="00EE47A2" w:rsidP="00EE47A2">
      <w:pPr>
        <w:pStyle w:val="Paragrafoelenco"/>
        <w:numPr>
          <w:ilvl w:val="0"/>
          <w:numId w:val="37"/>
        </w:numPr>
        <w:spacing w:line="276" w:lineRule="auto"/>
        <w:jc w:val="both"/>
        <w:rPr>
          <w:rFonts w:cstheme="minorHAnsi"/>
        </w:rPr>
      </w:pPr>
      <w:r w:rsidRPr="00EE47A2">
        <w:rPr>
          <w:rFonts w:cstheme="minorHAnsi"/>
          <w:b/>
          <w:bCs/>
        </w:rPr>
        <w:t>Infermieri</w:t>
      </w:r>
      <w:r w:rsidRPr="00EE47A2">
        <w:rPr>
          <w:rFonts w:cstheme="minorHAnsi"/>
        </w:rPr>
        <w:t>. Nel 2021 sono 298.597 gli infermieri che lavorano nelle strutture sanitarie: 264.768 dipendenti del SSN e 33.829 dipendenti delle strutture equiparate al SSN. La media nazionale è di 5,06 per 1.000 abitanti, con un range che varia dai 3,59 della Campania ai 6,72 del Friuli Venezia Giulia con un gap dell’87,2%</w:t>
      </w:r>
      <w:r>
        <w:rPr>
          <w:rFonts w:cstheme="minorHAnsi"/>
        </w:rPr>
        <w:t xml:space="preserve"> (</w:t>
      </w:r>
      <w:r w:rsidRPr="00871FE1">
        <w:rPr>
          <w:rFonts w:cstheme="minorHAnsi"/>
          <w:highlight w:val="yellow"/>
        </w:rPr>
        <w:t xml:space="preserve">Figura </w:t>
      </w:r>
      <w:r w:rsidR="00871FE1" w:rsidRPr="00871FE1">
        <w:rPr>
          <w:rFonts w:cstheme="minorHAnsi"/>
          <w:highlight w:val="yellow"/>
        </w:rPr>
        <w:t>9</w:t>
      </w:r>
      <w:r>
        <w:rPr>
          <w:rFonts w:cstheme="minorHAnsi"/>
        </w:rPr>
        <w:t>)</w:t>
      </w:r>
      <w:r w:rsidRPr="008B1750">
        <w:rPr>
          <w:rFonts w:cstheme="minorHAnsi"/>
        </w:rPr>
        <w:t>.</w:t>
      </w:r>
      <w:r w:rsidRPr="00EE47A2">
        <w:rPr>
          <w:rFonts w:cstheme="minorHAnsi"/>
        </w:rPr>
        <w:t xml:space="preserve"> L’Italia si colloca ben al di sotto della media OCSE (6,2 vs 9,9 per 1.000 abitanti).</w:t>
      </w:r>
    </w:p>
    <w:p w14:paraId="754C4EB4" w14:textId="683EE4DB" w:rsidR="00EE47A2" w:rsidRDefault="00EE47A2" w:rsidP="00EE47A2">
      <w:pPr>
        <w:pStyle w:val="Paragrafoelenco"/>
        <w:numPr>
          <w:ilvl w:val="0"/>
          <w:numId w:val="37"/>
        </w:numPr>
        <w:spacing w:line="276" w:lineRule="auto"/>
        <w:jc w:val="both"/>
        <w:rPr>
          <w:rFonts w:cstheme="minorHAnsi"/>
        </w:rPr>
      </w:pPr>
      <w:r w:rsidRPr="00EE47A2">
        <w:rPr>
          <w:rFonts w:cstheme="minorHAnsi"/>
          <w:b/>
          <w:bCs/>
        </w:rPr>
        <w:t>Rapporto infermieri/medici</w:t>
      </w:r>
      <w:r w:rsidRPr="00EE47A2">
        <w:rPr>
          <w:rFonts w:cstheme="minorHAnsi"/>
        </w:rPr>
        <w:t xml:space="preserve">. Nel 2021 il rapporto nazionale infermieri/medici tra il personale dipendente è di 2,4, con un range che varia dagli 1,83 della Sicilia ai 3,3 della Provincia autonoma di Bolzano, con un gap dell’80,3%. </w:t>
      </w:r>
      <w:r>
        <w:rPr>
          <w:rFonts w:cstheme="minorHAnsi"/>
        </w:rPr>
        <w:t>(</w:t>
      </w:r>
      <w:r w:rsidRPr="00C055DB">
        <w:rPr>
          <w:rFonts w:cstheme="minorHAnsi"/>
          <w:highlight w:val="yellow"/>
        </w:rPr>
        <w:t xml:space="preserve">Figura </w:t>
      </w:r>
      <w:r w:rsidR="00871FE1">
        <w:rPr>
          <w:rFonts w:cstheme="minorHAnsi"/>
          <w:highlight w:val="yellow"/>
        </w:rPr>
        <w:t>10</w:t>
      </w:r>
      <w:r>
        <w:rPr>
          <w:rFonts w:cstheme="minorHAnsi"/>
        </w:rPr>
        <w:t>).</w:t>
      </w:r>
      <w:r w:rsidR="00581465">
        <w:rPr>
          <w:rFonts w:cstheme="minorHAnsi"/>
        </w:rPr>
        <w:t xml:space="preserve"> </w:t>
      </w:r>
      <w:r w:rsidRPr="00EE47A2">
        <w:rPr>
          <w:rFonts w:cstheme="minorHAnsi"/>
        </w:rPr>
        <w:t>Fatta eccezione per il Molise, le Regioni in Piano di rientro si trovano tutte sotto la media nazionale, dimostrando che le restrizioni di personale hanno colpito più il personale infermieristico che quello medico. L’Italia si colloca molto al di sotto della media OCSE (1,5 vs 2,7) per rapporto infermieri/medici, in Europa davanti solo a Spagna (1,4) e Lettonia (1,2).</w:t>
      </w:r>
    </w:p>
    <w:p w14:paraId="5DFC2A0F" w14:textId="77777777" w:rsidR="00192B35" w:rsidRPr="00192B35" w:rsidRDefault="00192B35" w:rsidP="00192B35">
      <w:pPr>
        <w:pStyle w:val="Paragrafoelenco"/>
        <w:spacing w:line="276" w:lineRule="auto"/>
        <w:ind w:left="360"/>
        <w:jc w:val="both"/>
        <w:rPr>
          <w:rFonts w:cstheme="minorHAnsi"/>
        </w:rPr>
      </w:pPr>
    </w:p>
    <w:p w14:paraId="2DE65CCA" w14:textId="77777777" w:rsidR="002576D2" w:rsidRDefault="00BD2C2E" w:rsidP="00BD2C2E">
      <w:pPr>
        <w:jc w:val="both"/>
        <w:rPr>
          <w:rFonts w:cstheme="minorHAnsi"/>
        </w:rPr>
      </w:pPr>
      <w:r w:rsidRPr="00BD2C2E">
        <w:rPr>
          <w:rFonts w:cstheme="minorHAnsi"/>
          <w:b/>
          <w:bCs/>
        </w:rPr>
        <w:t>PNRR MISSIONE SALUTE</w:t>
      </w:r>
    </w:p>
    <w:p w14:paraId="798274F7" w14:textId="77777777" w:rsidR="00FF5229" w:rsidRDefault="00FF5229" w:rsidP="00FF5229">
      <w:pPr>
        <w:pStyle w:val="Paragrafoelenco"/>
        <w:numPr>
          <w:ilvl w:val="0"/>
          <w:numId w:val="36"/>
        </w:numPr>
        <w:spacing w:line="276" w:lineRule="auto"/>
        <w:jc w:val="both"/>
        <w:rPr>
          <w:rFonts w:cstheme="minorHAnsi"/>
        </w:rPr>
      </w:pPr>
      <w:r w:rsidRPr="00FF5229">
        <w:rPr>
          <w:rFonts w:cstheme="minorHAnsi"/>
          <w:b/>
          <w:bCs/>
        </w:rPr>
        <w:t>Criticità di implementazione</w:t>
      </w:r>
      <w:r>
        <w:rPr>
          <w:rFonts w:cstheme="minorHAnsi"/>
        </w:rPr>
        <w:t xml:space="preserve">. Sono </w:t>
      </w:r>
      <w:r w:rsidR="002576D2" w:rsidRPr="00FF5229">
        <w:rPr>
          <w:rFonts w:cstheme="minorHAnsi"/>
        </w:rPr>
        <w:t xml:space="preserve">in larga parte relative alla riorganizzazione prevista dal DM 77/2022: dalle differenze regionali (modelli organizzativi dell’assistenza territoriale, dotazione iniziale di case di comunità e ospedali di comunità, percentuale di over 65 in assistenza domiciliare nel 2019, attuazione del fascicolo sanitario elettronico) al fabbisogno di personale per il potenziamento dell’assistenza territoriale; dalle modalità di coinvolgimento di medici e pediatri di famiglia alla carenza di personale infermieristico; dagli ostacoli all’attuazione della telemedicina al carico amministrativo di Regioni e Aziende sanitarie. </w:t>
      </w:r>
    </w:p>
    <w:p w14:paraId="73387487" w14:textId="6191B7B2" w:rsidR="00FF5229" w:rsidRPr="00A223B1" w:rsidRDefault="00FF5229" w:rsidP="00A223B1">
      <w:pPr>
        <w:pStyle w:val="Paragrafoelenco"/>
        <w:numPr>
          <w:ilvl w:val="0"/>
          <w:numId w:val="36"/>
        </w:numPr>
        <w:spacing w:line="276" w:lineRule="auto"/>
        <w:jc w:val="both"/>
        <w:rPr>
          <w:rFonts w:cstheme="minorHAnsi"/>
        </w:rPr>
      </w:pPr>
      <w:r>
        <w:rPr>
          <w:rFonts w:cstheme="minorHAnsi"/>
          <w:b/>
          <w:bCs/>
        </w:rPr>
        <w:t>Stato di attuazione</w:t>
      </w:r>
      <w:r w:rsidRPr="00FF5229">
        <w:rPr>
          <w:rFonts w:cstheme="minorHAnsi"/>
        </w:rPr>
        <w:t>.</w:t>
      </w:r>
      <w:r>
        <w:rPr>
          <w:rFonts w:cstheme="minorHAnsi"/>
        </w:rPr>
        <w:t xml:space="preserve"> </w:t>
      </w:r>
      <w:r w:rsidRPr="00A223B1">
        <w:rPr>
          <w:rFonts w:cstheme="minorHAnsi"/>
        </w:rPr>
        <w:t>I</w:t>
      </w:r>
      <w:r w:rsidR="002576D2" w:rsidRPr="00A223B1">
        <w:rPr>
          <w:rFonts w:cstheme="minorHAnsi"/>
        </w:rPr>
        <w:t xml:space="preserve"> target europei</w:t>
      </w:r>
      <w:r w:rsidR="00A223B1">
        <w:rPr>
          <w:rFonts w:cstheme="minorHAnsi"/>
        </w:rPr>
        <w:t xml:space="preserve"> </w:t>
      </w:r>
      <w:r w:rsidR="002576D2" w:rsidRPr="00A223B1">
        <w:rPr>
          <w:rFonts w:cstheme="minorHAnsi"/>
        </w:rPr>
        <w:t xml:space="preserve">sono stati tutti raggiunti entro le scadenze fissate. </w:t>
      </w:r>
      <w:r w:rsidR="00A223B1">
        <w:rPr>
          <w:rFonts w:cstheme="minorHAnsi"/>
        </w:rPr>
        <w:t xml:space="preserve">Dei </w:t>
      </w:r>
      <w:r w:rsidR="002576D2" w:rsidRPr="00A223B1">
        <w:rPr>
          <w:rFonts w:cstheme="minorHAnsi"/>
        </w:rPr>
        <w:t xml:space="preserve">target italiani, che rappresentano scadenze intermedie, </w:t>
      </w:r>
      <w:r w:rsidR="00A223B1">
        <w:rPr>
          <w:rFonts w:cstheme="minorHAnsi"/>
        </w:rPr>
        <w:t>r</w:t>
      </w:r>
      <w:r w:rsidR="002576D2" w:rsidRPr="00A223B1">
        <w:rPr>
          <w:rFonts w:cstheme="minorHAnsi"/>
        </w:rPr>
        <w:t>elativ</w:t>
      </w:r>
      <w:r w:rsidR="00A223B1">
        <w:rPr>
          <w:rFonts w:cstheme="minorHAnsi"/>
        </w:rPr>
        <w:t>i</w:t>
      </w:r>
      <w:r w:rsidR="002576D2" w:rsidRPr="00A223B1">
        <w:rPr>
          <w:rFonts w:cstheme="minorHAnsi"/>
        </w:rPr>
        <w:t xml:space="preserve"> al</w:t>
      </w:r>
      <w:r w:rsidR="00A223B1">
        <w:rPr>
          <w:rFonts w:cstheme="minorHAnsi"/>
        </w:rPr>
        <w:t xml:space="preserve"> </w:t>
      </w:r>
      <w:r w:rsidR="002576D2" w:rsidRPr="00A223B1">
        <w:rPr>
          <w:rFonts w:cstheme="minorHAnsi"/>
        </w:rPr>
        <w:t xml:space="preserve">2023 </w:t>
      </w:r>
      <w:r w:rsidR="00A223B1" w:rsidRPr="00A223B1">
        <w:rPr>
          <w:rFonts w:cstheme="minorHAnsi"/>
        </w:rPr>
        <w:t xml:space="preserve">sono state differite le scadenze </w:t>
      </w:r>
      <w:r w:rsidR="00A223B1">
        <w:rPr>
          <w:rFonts w:cstheme="minorHAnsi"/>
        </w:rPr>
        <w:t>p</w:t>
      </w:r>
      <w:r w:rsidR="002576D2" w:rsidRPr="00A223B1">
        <w:rPr>
          <w:rFonts w:cstheme="minorHAnsi"/>
        </w:rPr>
        <w:t>er 1 milestone e 7 target</w:t>
      </w:r>
      <w:r w:rsidR="00A223B1">
        <w:rPr>
          <w:rFonts w:cstheme="minorHAnsi"/>
        </w:rPr>
        <w:t>.</w:t>
      </w:r>
      <w:r w:rsidR="00984E46">
        <w:rPr>
          <w:rFonts w:cstheme="minorHAnsi"/>
        </w:rPr>
        <w:t xml:space="preserve"> </w:t>
      </w:r>
      <w:r w:rsidR="002576D2" w:rsidRPr="00A223B1">
        <w:rPr>
          <w:rFonts w:cstheme="minorHAnsi"/>
        </w:rPr>
        <w:t xml:space="preserve">Rispetto allo stato di avanzamento sulle strutture da realizzare, secondo il monitoraggio Agenas al 30 giugno 2023 sono funzionalmente attive 187/1.430 Case di Comunità, 77/611 Centrali Operative Territoriali e 76/434 Ospedali di Comunità. </w:t>
      </w:r>
      <w:r w:rsidR="00A223B1" w:rsidRPr="00D26331">
        <w:rPr>
          <w:rFonts w:cstheme="minorHAnsi"/>
        </w:rPr>
        <w:t>«</w:t>
      </w:r>
      <w:r w:rsidR="002576D2" w:rsidRPr="00A223B1">
        <w:rPr>
          <w:rFonts w:cstheme="minorHAnsi"/>
        </w:rPr>
        <w:t>Complessivamente</w:t>
      </w:r>
      <w:r w:rsidR="00A223B1">
        <w:rPr>
          <w:rFonts w:cstheme="minorHAnsi"/>
        </w:rPr>
        <w:t xml:space="preserve"> – ha commentato il Presidente </w:t>
      </w:r>
      <w:r w:rsidR="00F306A2">
        <w:rPr>
          <w:rFonts w:cstheme="minorHAnsi"/>
        </w:rPr>
        <w:t>–</w:t>
      </w:r>
      <w:r w:rsidR="00A223B1">
        <w:rPr>
          <w:rFonts w:cstheme="minorHAnsi"/>
        </w:rPr>
        <w:t xml:space="preserve"> </w:t>
      </w:r>
      <w:r w:rsidR="002576D2" w:rsidRPr="00A223B1">
        <w:rPr>
          <w:rFonts w:cstheme="minorHAnsi"/>
        </w:rPr>
        <w:t>il monitoraggio conferma il netto ritardo delle Regioni del Sud</w:t>
      </w:r>
      <w:r w:rsidR="00A223B1" w:rsidRPr="00D26331">
        <w:rPr>
          <w:rFonts w:cstheme="minorHAnsi"/>
        </w:rPr>
        <w:t>».</w:t>
      </w:r>
    </w:p>
    <w:p w14:paraId="16DBDA76" w14:textId="2678B742" w:rsidR="001B46A1" w:rsidRPr="00A223B1" w:rsidRDefault="00FF5229" w:rsidP="00FF5229">
      <w:pPr>
        <w:pStyle w:val="Paragrafoelenco"/>
        <w:numPr>
          <w:ilvl w:val="0"/>
          <w:numId w:val="36"/>
        </w:numPr>
        <w:spacing w:line="276" w:lineRule="auto"/>
        <w:jc w:val="both"/>
        <w:rPr>
          <w:rFonts w:cstheme="minorHAnsi"/>
        </w:rPr>
      </w:pPr>
      <w:r w:rsidRPr="00FF5229">
        <w:rPr>
          <w:rFonts w:cstheme="minorHAnsi"/>
          <w:b/>
          <w:bCs/>
        </w:rPr>
        <w:t>Proposte di rimodulazione</w:t>
      </w:r>
      <w:r>
        <w:rPr>
          <w:rFonts w:cstheme="minorHAnsi"/>
        </w:rPr>
        <w:t xml:space="preserve">. </w:t>
      </w:r>
      <w:r w:rsidR="002576D2" w:rsidRPr="00FF5229">
        <w:rPr>
          <w:rFonts w:cstheme="minorHAnsi"/>
        </w:rPr>
        <w:t xml:space="preserve">Vengono sintetizzate e valutate le proposte di rimodulazione del PNRR presentate il 27 luglio 2023 alla </w:t>
      </w:r>
      <w:r w:rsidR="002576D2" w:rsidRPr="00CC3536">
        <w:rPr>
          <w:rFonts w:cstheme="minorHAnsi"/>
        </w:rPr>
        <w:t xml:space="preserve">Commissione Europea </w:t>
      </w:r>
      <w:r w:rsidR="002576D2" w:rsidRPr="00FF5229">
        <w:rPr>
          <w:rFonts w:cstheme="minorHAnsi"/>
        </w:rPr>
        <w:t xml:space="preserve">(attualmente non ancora ratificate) in ragione dell’aumento dei costi dell’investimento e/o dei tempi di attuazione oltre che dei ritardi nelle forniture e delle difficoltà legate all’approvvigionamento di materie prime. Complessivamente si propone di espungere 414 Case di Comunità, 76 Centrali Operative Territoriali, 96 ospedali di Comunità e 22 interventi di anti-sismica. Vengono anche richiesti tre differimenti temporali delle scadenze: 6 mesi per le Centrali Operative Territoriali, 12 mesi per il target delle persone assistite in ADI con strumenti di </w:t>
      </w:r>
      <w:r w:rsidR="002576D2" w:rsidRPr="00FF5229">
        <w:rPr>
          <w:rFonts w:cstheme="minorHAnsi"/>
        </w:rPr>
        <w:lastRenderedPageBreak/>
        <w:t xml:space="preserve">telemedicina e per l’ammodernamento parco tecnologico e digitale ospedaliero. </w:t>
      </w:r>
      <w:r w:rsidR="00B81FBF" w:rsidRPr="00D26331">
        <w:rPr>
          <w:rFonts w:cstheme="minorHAnsi"/>
        </w:rPr>
        <w:t>«</w:t>
      </w:r>
      <w:r w:rsidR="00B81FBF" w:rsidRPr="00FF5229">
        <w:rPr>
          <w:rFonts w:cstheme="minorHAnsi"/>
        </w:rPr>
        <w:t>Le analisi effettuate</w:t>
      </w:r>
      <w:r w:rsidR="00B81FBF">
        <w:rPr>
          <w:rFonts w:cstheme="minorHAnsi"/>
        </w:rPr>
        <w:t xml:space="preserve"> sulle proposte di rimodulazione – ha commentato Cartabellotta </w:t>
      </w:r>
      <w:r w:rsidR="00F306A2">
        <w:rPr>
          <w:rFonts w:cstheme="minorHAnsi"/>
        </w:rPr>
        <w:t>–</w:t>
      </w:r>
      <w:r w:rsidR="00B81FBF">
        <w:rPr>
          <w:rFonts w:cstheme="minorHAnsi"/>
        </w:rPr>
        <w:t xml:space="preserve"> </w:t>
      </w:r>
      <w:r w:rsidR="00B81FBF" w:rsidRPr="00FF5229">
        <w:rPr>
          <w:rFonts w:cstheme="minorHAnsi"/>
        </w:rPr>
        <w:t>rilevano alcune criticità</w:t>
      </w:r>
      <w:r w:rsidR="00B81FBF">
        <w:rPr>
          <w:rFonts w:cstheme="minorHAnsi"/>
        </w:rPr>
        <w:t>: in particolare sembra poco realistica la possibilità di finanziare le strutture espunte con i fondi per la ristrutturazione edilizia e ammodernamento tecnologico (ex. art. 20) non spesi dalle Regioni</w:t>
      </w:r>
      <w:r w:rsidR="00B81FBF" w:rsidRPr="00D26331">
        <w:rPr>
          <w:rFonts w:cstheme="minorHAnsi"/>
        </w:rPr>
        <w:t>»</w:t>
      </w:r>
      <w:r w:rsidR="00F306A2">
        <w:rPr>
          <w:rFonts w:cstheme="minorHAnsi"/>
        </w:rPr>
        <w:t>.</w:t>
      </w:r>
    </w:p>
    <w:p w14:paraId="4CBB4808" w14:textId="77777777" w:rsidR="00DA1D51" w:rsidRDefault="00DA1D51" w:rsidP="00E01976">
      <w:pPr>
        <w:jc w:val="both"/>
        <w:rPr>
          <w:rFonts w:cstheme="minorHAnsi"/>
        </w:rPr>
      </w:pPr>
    </w:p>
    <w:p w14:paraId="60486540" w14:textId="2F59BBDC" w:rsidR="005C2A99" w:rsidRPr="00CC3536" w:rsidRDefault="00FF5229" w:rsidP="00E01976">
      <w:pPr>
        <w:jc w:val="both"/>
        <w:rPr>
          <w:rFonts w:cstheme="minorHAnsi"/>
        </w:rPr>
      </w:pPr>
      <w:r w:rsidRPr="00D26331">
        <w:rPr>
          <w:rFonts w:cstheme="minorHAnsi"/>
        </w:rPr>
        <w:t>«</w:t>
      </w:r>
      <w:r w:rsidRPr="00FF5229">
        <w:rPr>
          <w:rFonts w:cstheme="minorHAnsi"/>
        </w:rPr>
        <w:t>Se è certo che la Missione Salute del PNRR rappresenta una grande opportunità per potenziare il SSN</w:t>
      </w:r>
      <w:r w:rsidR="00581465">
        <w:rPr>
          <w:rFonts w:cstheme="minorHAnsi"/>
        </w:rPr>
        <w:t xml:space="preserve"> – </w:t>
      </w:r>
      <w:r w:rsidR="00F306A2">
        <w:rPr>
          <w:rFonts w:cstheme="minorHAnsi"/>
        </w:rPr>
        <w:t xml:space="preserve">ha sottolineato </w:t>
      </w:r>
      <w:r w:rsidR="00581465">
        <w:rPr>
          <w:rFonts w:cstheme="minorHAnsi"/>
        </w:rPr>
        <w:t xml:space="preserve">Cartabellotta – </w:t>
      </w:r>
      <w:r w:rsidRPr="00FF5229">
        <w:rPr>
          <w:rFonts w:cstheme="minorHAnsi"/>
        </w:rPr>
        <w:t xml:space="preserve">la sua attuazione deve essere sostenuta da </w:t>
      </w:r>
      <w:r w:rsidR="00581465">
        <w:rPr>
          <w:rFonts w:cstheme="minorHAnsi"/>
        </w:rPr>
        <w:t>a</w:t>
      </w:r>
      <w:r w:rsidRPr="00FF5229">
        <w:rPr>
          <w:rFonts w:cstheme="minorHAnsi"/>
        </w:rPr>
        <w:t>zioni politiche. Innanzitutto, per attuare il DM 77 bisogna mettere in campo coraggiose riforme di sistema, finalizzate in particolare a ridisegnare ruolo e responsabilità dei medici di famiglia e facilitare l’integrazione con l’infermiere di famiglia; in secondo luogo, servono investimenti certi e vincolati per il personale sanitario dal 2027, oltre che un’adeguata rivalutazione del fabbisogno di personale infermieristico; infine, occorre una rigorosa governance delle Regioni per colmare i gap esistenti. Ma soprattutto la politica, oltre a credere nell’impianto della Missione Salute</w:t>
      </w:r>
      <w:r w:rsidR="00A223B1">
        <w:rPr>
          <w:rFonts w:cstheme="minorHAnsi"/>
        </w:rPr>
        <w:t>,</w:t>
      </w:r>
      <w:r w:rsidRPr="00FF5229">
        <w:rPr>
          <w:rFonts w:cstheme="minorHAnsi"/>
        </w:rPr>
        <w:t xml:space="preserve"> deve inserirlo in un quadro di rafforzamento complessivo del SSN</w:t>
      </w:r>
      <w:r w:rsidR="00581465">
        <w:rPr>
          <w:rFonts w:cstheme="minorHAnsi"/>
        </w:rPr>
        <w:t xml:space="preserve">: </w:t>
      </w:r>
      <w:r>
        <w:rPr>
          <w:rFonts w:cstheme="minorHAnsi"/>
        </w:rPr>
        <w:t>altrimenti indebiteremo le generazioni future per</w:t>
      </w:r>
      <w:r w:rsidR="00F306A2">
        <w:rPr>
          <w:rFonts w:cstheme="minorHAnsi"/>
        </w:rPr>
        <w:t xml:space="preserve"> finanziare</w:t>
      </w:r>
      <w:r>
        <w:rPr>
          <w:rFonts w:cstheme="minorHAnsi"/>
        </w:rPr>
        <w:t xml:space="preserve"> </w:t>
      </w:r>
      <w:r w:rsidR="00F306A2">
        <w:rPr>
          <w:rFonts w:cstheme="minorHAnsi"/>
        </w:rPr>
        <w:t xml:space="preserve">solo </w:t>
      </w:r>
      <w:r>
        <w:rPr>
          <w:rFonts w:cstheme="minorHAnsi"/>
        </w:rPr>
        <w:t xml:space="preserve">un costoso </w:t>
      </w:r>
      <w:r w:rsidR="00581465">
        <w:rPr>
          <w:rFonts w:cstheme="minorHAnsi"/>
        </w:rPr>
        <w:t>“</w:t>
      </w:r>
      <w:r>
        <w:rPr>
          <w:rFonts w:cstheme="minorHAnsi"/>
        </w:rPr>
        <w:t>lifting</w:t>
      </w:r>
      <w:r w:rsidR="00581465">
        <w:rPr>
          <w:rFonts w:cstheme="minorHAnsi"/>
        </w:rPr>
        <w:t>”</w:t>
      </w:r>
      <w:r>
        <w:rPr>
          <w:rFonts w:cstheme="minorHAnsi"/>
        </w:rPr>
        <w:t xml:space="preserve"> del SSN</w:t>
      </w:r>
      <w:r w:rsidRPr="00D26331">
        <w:rPr>
          <w:rFonts w:cstheme="minorHAnsi"/>
        </w:rPr>
        <w:t>».</w:t>
      </w:r>
    </w:p>
    <w:p w14:paraId="3139D1EE" w14:textId="4358B15D" w:rsidR="002A3622" w:rsidRPr="00CC3536" w:rsidRDefault="002A3622" w:rsidP="002A3622">
      <w:pPr>
        <w:jc w:val="both"/>
        <w:rPr>
          <w:rFonts w:cstheme="minorHAnsi"/>
        </w:rPr>
      </w:pPr>
      <w:bookmarkStart w:id="2" w:name="_Hlk116297306"/>
      <w:r w:rsidRPr="00CC3536">
        <w:rPr>
          <w:rFonts w:ascii="Calibri" w:hAnsi="Calibri" w:cstheme="minorHAnsi"/>
          <w:lang w:eastAsia="it-IT"/>
        </w:rPr>
        <w:t xml:space="preserve">La Fondazione GIMBE </w:t>
      </w:r>
      <w:r w:rsidR="00C54A1E" w:rsidRPr="00CC3536">
        <w:rPr>
          <w:rFonts w:ascii="Calibri" w:hAnsi="Calibri" w:cstheme="minorHAnsi"/>
          <w:lang w:eastAsia="it-IT"/>
        </w:rPr>
        <w:t xml:space="preserve">ha da </w:t>
      </w:r>
      <w:r w:rsidRPr="00CC3536">
        <w:rPr>
          <w:rFonts w:ascii="Calibri" w:hAnsi="Calibri" w:cstheme="minorHAnsi"/>
          <w:lang w:eastAsia="it-IT"/>
        </w:rPr>
        <w:t>sempre ribadito che</w:t>
      </w:r>
      <w:r w:rsidR="00DA6C57" w:rsidRPr="00CC3536">
        <w:rPr>
          <w:rFonts w:ascii="Calibri" w:hAnsi="Calibri" w:cstheme="minorHAnsi"/>
          <w:lang w:eastAsia="it-IT"/>
        </w:rPr>
        <w:t>,</w:t>
      </w:r>
      <w:r w:rsidRPr="00CC3536">
        <w:rPr>
          <w:rFonts w:ascii="Calibri" w:hAnsi="Calibri" w:cstheme="minorHAnsi"/>
          <w:lang w:eastAsia="it-IT"/>
        </w:rPr>
        <w:t xml:space="preserve"> </w:t>
      </w:r>
      <w:r w:rsidR="00122425" w:rsidRPr="00CC3536">
        <w:rPr>
          <w:rFonts w:ascii="Calibri" w:hAnsi="Calibri" w:cstheme="minorHAnsi"/>
          <w:lang w:eastAsia="it-IT"/>
        </w:rPr>
        <w:t xml:space="preserve">se da un lato </w:t>
      </w:r>
      <w:r w:rsidRPr="00CC3536">
        <w:rPr>
          <w:rFonts w:ascii="Calibri" w:hAnsi="Calibri" w:cstheme="minorHAnsi"/>
          <w:lang w:eastAsia="it-IT"/>
        </w:rPr>
        <w:t xml:space="preserve">non esiste un piano occulto di smantellamento e privatizzazione del SSN, </w:t>
      </w:r>
      <w:r w:rsidR="00122425" w:rsidRPr="00CC3536">
        <w:rPr>
          <w:rFonts w:ascii="Calibri" w:hAnsi="Calibri" w:cstheme="minorHAnsi"/>
          <w:lang w:eastAsia="it-IT"/>
        </w:rPr>
        <w:t>dall’altro</w:t>
      </w:r>
      <w:r w:rsidRPr="00CC3536">
        <w:rPr>
          <w:rFonts w:ascii="Calibri" w:hAnsi="Calibri" w:cstheme="minorHAnsi"/>
          <w:lang w:eastAsia="it-IT"/>
        </w:rPr>
        <w:t xml:space="preserve"> manca un esplicito programma politico per il suo </w:t>
      </w:r>
      <w:r w:rsidR="00871FE1">
        <w:rPr>
          <w:rFonts w:ascii="Calibri" w:hAnsi="Calibri" w:cstheme="minorHAnsi"/>
          <w:lang w:eastAsia="it-IT"/>
        </w:rPr>
        <w:t>potenziament</w:t>
      </w:r>
      <w:r w:rsidR="0076189A">
        <w:rPr>
          <w:rFonts w:ascii="Calibri" w:hAnsi="Calibri" w:cstheme="minorHAnsi"/>
          <w:lang w:eastAsia="it-IT"/>
        </w:rPr>
        <w:t>o</w:t>
      </w:r>
      <w:r w:rsidR="009D75DE" w:rsidRPr="00CC3536">
        <w:rPr>
          <w:rFonts w:ascii="Calibri" w:hAnsi="Calibri" w:cstheme="minorHAnsi"/>
          <w:lang w:eastAsia="it-IT"/>
        </w:rPr>
        <w:t xml:space="preserve">. </w:t>
      </w:r>
      <w:r w:rsidR="00122425" w:rsidRPr="00CC3536">
        <w:rPr>
          <w:rFonts w:cstheme="minorHAnsi"/>
        </w:rPr>
        <w:t>A</w:t>
      </w:r>
      <w:r w:rsidR="00C54A1E" w:rsidRPr="00CC3536">
        <w:rPr>
          <w:rFonts w:cstheme="minorHAnsi"/>
        </w:rPr>
        <w:t xml:space="preserve">l fine di orientare le decisioni politiche, </w:t>
      </w:r>
      <w:r w:rsidR="00122425" w:rsidRPr="00CC3536">
        <w:rPr>
          <w:rFonts w:cstheme="minorHAnsi"/>
        </w:rPr>
        <w:t xml:space="preserve">il Rapporto </w:t>
      </w:r>
      <w:r w:rsidR="00F57E33" w:rsidRPr="00CC3536">
        <w:rPr>
          <w:rFonts w:cstheme="minorHAnsi"/>
        </w:rPr>
        <w:t>contiene</w:t>
      </w:r>
      <w:r w:rsidR="00A66328" w:rsidRPr="00CC3536">
        <w:rPr>
          <w:rFonts w:cstheme="minorHAnsi"/>
        </w:rPr>
        <w:t xml:space="preserve"> </w:t>
      </w:r>
      <w:r w:rsidR="00581465" w:rsidRPr="00CC3536">
        <w:rPr>
          <w:rFonts w:cstheme="minorHAnsi"/>
        </w:rPr>
        <w:t xml:space="preserve">il </w:t>
      </w:r>
      <w:r w:rsidR="00581465" w:rsidRPr="00CC3536">
        <w:rPr>
          <w:rFonts w:cstheme="minorHAnsi"/>
          <w:b/>
        </w:rPr>
        <w:t>Piano di rilancio del Servizio Sanitario Nazionale</w:t>
      </w:r>
      <w:r w:rsidR="00783E8C" w:rsidRPr="00CC3536">
        <w:rPr>
          <w:rFonts w:cstheme="minorHAnsi"/>
          <w:b/>
        </w:rPr>
        <w:t>,</w:t>
      </w:r>
      <w:r w:rsidR="00581465" w:rsidRPr="00CC3536">
        <w:rPr>
          <w:rFonts w:cstheme="minorHAnsi"/>
        </w:rPr>
        <w:t xml:space="preserve"> </w:t>
      </w:r>
      <w:r w:rsidR="009D75DE" w:rsidRPr="00CC3536">
        <w:rPr>
          <w:rFonts w:cstheme="minorHAnsi"/>
        </w:rPr>
        <w:t>«</w:t>
      </w:r>
      <w:r w:rsidR="00122425" w:rsidRPr="00CC3536">
        <w:rPr>
          <w:rFonts w:cstheme="minorHAnsi"/>
        </w:rPr>
        <w:t>finalizzato</w:t>
      </w:r>
      <w:r w:rsidR="00783E8C" w:rsidRPr="00CC3536">
        <w:rPr>
          <w:rFonts w:cstheme="minorHAnsi"/>
        </w:rPr>
        <w:t xml:space="preserve"> – spiega Cartabellotta –</w:t>
      </w:r>
      <w:r w:rsidR="00DA1D51">
        <w:rPr>
          <w:rFonts w:cstheme="minorHAnsi"/>
        </w:rPr>
        <w:t xml:space="preserve"> </w:t>
      </w:r>
      <w:r w:rsidR="00122425" w:rsidRPr="00CC3536">
        <w:rPr>
          <w:rFonts w:cstheme="minorHAnsi"/>
        </w:rPr>
        <w:t xml:space="preserve">all’attuazione </w:t>
      </w:r>
      <w:r w:rsidR="009D75DE" w:rsidRPr="00CC3536">
        <w:rPr>
          <w:rFonts w:cstheme="minorHAnsi"/>
        </w:rPr>
        <w:t xml:space="preserve">di </w:t>
      </w:r>
      <w:r w:rsidR="00C54A1E" w:rsidRPr="00CC3536">
        <w:rPr>
          <w:rFonts w:cstheme="minorHAnsi"/>
        </w:rPr>
        <w:t xml:space="preserve">riforme e </w:t>
      </w:r>
      <w:r w:rsidR="009D75DE" w:rsidRPr="00CC3536">
        <w:rPr>
          <w:rFonts w:cstheme="minorHAnsi"/>
        </w:rPr>
        <w:t>innovazioni di rottura</w:t>
      </w:r>
      <w:r w:rsidR="00C54A1E" w:rsidRPr="00CC3536">
        <w:rPr>
          <w:rFonts w:cstheme="minorHAnsi"/>
        </w:rPr>
        <w:t xml:space="preserve"> per </w:t>
      </w:r>
      <w:r w:rsidR="001C5A39" w:rsidRPr="00CC3536">
        <w:rPr>
          <w:rFonts w:cstheme="minorHAnsi"/>
        </w:rPr>
        <w:t>il</w:t>
      </w:r>
      <w:r w:rsidR="00C54A1E" w:rsidRPr="00CC3536">
        <w:rPr>
          <w:rFonts w:cstheme="minorHAnsi"/>
        </w:rPr>
        <w:t xml:space="preserve"> rilancio </w:t>
      </w:r>
      <w:r w:rsidR="006768B0" w:rsidRPr="00CC3536">
        <w:rPr>
          <w:rFonts w:cstheme="minorHAnsi"/>
        </w:rPr>
        <w:t xml:space="preserve">definitivo </w:t>
      </w:r>
      <w:r w:rsidR="00C54A1E" w:rsidRPr="00CC3536">
        <w:rPr>
          <w:rFonts w:cstheme="minorHAnsi"/>
        </w:rPr>
        <w:t>d</w:t>
      </w:r>
      <w:r w:rsidR="006768B0" w:rsidRPr="00CC3536">
        <w:rPr>
          <w:rFonts w:cstheme="minorHAnsi"/>
        </w:rPr>
        <w:t>i un pilastro fondante della nostra democrazia</w:t>
      </w:r>
      <w:r w:rsidR="00782061" w:rsidRPr="00CC3536">
        <w:rPr>
          <w:rFonts w:cstheme="minorHAnsi"/>
        </w:rPr>
        <w:t>».</w:t>
      </w:r>
      <w:r w:rsidR="009D75DE" w:rsidRPr="00CC3536">
        <w:rPr>
          <w:rFonts w:cstheme="minorHAnsi"/>
        </w:rPr>
        <w:t xml:space="preserve"> </w:t>
      </w:r>
    </w:p>
    <w:p w14:paraId="123758A7" w14:textId="59B24B4C"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LA SALUTE IN TUTTE LE POLITICHE</w:t>
      </w:r>
      <w:r w:rsidRPr="001B46A1">
        <w:rPr>
          <w:rFonts w:cstheme="minorHAnsi"/>
          <w:b/>
        </w:rPr>
        <w:t>.</w:t>
      </w:r>
      <w:r w:rsidR="00984E46">
        <w:rPr>
          <w:rFonts w:cstheme="minorHAnsi"/>
          <w:b/>
          <w:bCs/>
        </w:rPr>
        <w:t xml:space="preserve"> </w:t>
      </w:r>
      <w:r w:rsidRPr="001B46A1">
        <w:rPr>
          <w:rFonts w:cstheme="minorHAnsi"/>
        </w:rPr>
        <w:t>Mettere la salute al centro di tutte le decisioni politiche non solo sanitarie, ma anche ambientali, industriali, sociali, economiche e fiscali (</w:t>
      </w:r>
      <w:r w:rsidRPr="001B46A1">
        <w:rPr>
          <w:rFonts w:cstheme="minorHAnsi"/>
          <w:i/>
        </w:rPr>
        <w:t>health in all).</w:t>
      </w:r>
    </w:p>
    <w:p w14:paraId="7050B331"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 xml:space="preserve">APPROCCIO </w:t>
      </w:r>
      <w:r w:rsidRPr="001B46A1">
        <w:rPr>
          <w:rFonts w:cstheme="minorHAnsi"/>
          <w:b/>
          <w:bCs/>
          <w:i/>
        </w:rPr>
        <w:t>ONE HEALTH</w:t>
      </w:r>
      <w:r w:rsidRPr="001B46A1">
        <w:rPr>
          <w:rFonts w:cstheme="minorHAnsi"/>
          <w:b/>
        </w:rPr>
        <w:t>.</w:t>
      </w:r>
      <w:r w:rsidRPr="001B46A1">
        <w:rPr>
          <w:rFonts w:cstheme="minorHAnsi"/>
        </w:rPr>
        <w:t xml:space="preserve"> Attuare un approccio integrato alla gestione della salute, perché la salute dell’uomo, degli animali, delle piante e dell’ambiente, ecosistemi inclusi, sono strettamente interdipendenti.</w:t>
      </w:r>
    </w:p>
    <w:p w14:paraId="62F7454D" w14:textId="77777777" w:rsidR="00FD45BD" w:rsidRPr="001B46A1" w:rsidRDefault="00FD45BD" w:rsidP="00DA6C57">
      <w:pPr>
        <w:pStyle w:val="Paragrafoelenco"/>
        <w:numPr>
          <w:ilvl w:val="0"/>
          <w:numId w:val="32"/>
        </w:numPr>
        <w:spacing w:line="276" w:lineRule="auto"/>
        <w:jc w:val="both"/>
        <w:rPr>
          <w:rFonts w:cstheme="minorHAnsi"/>
        </w:rPr>
      </w:pPr>
      <w:r w:rsidRPr="001B46A1">
        <w:rPr>
          <w:rFonts w:cstheme="minorHAnsi"/>
          <w:b/>
          <w:bCs/>
        </w:rPr>
        <w:t>GOVERNANCE STATO-REGIONI</w:t>
      </w:r>
      <w:r w:rsidRPr="001B46A1">
        <w:rPr>
          <w:rFonts w:cstheme="minorHAnsi"/>
          <w:b/>
        </w:rPr>
        <w:t>.</w:t>
      </w:r>
      <w:r w:rsidRPr="001B46A1">
        <w:rPr>
          <w:rFonts w:cstheme="minorHAnsi"/>
          <w:b/>
          <w:bCs/>
        </w:rPr>
        <w:t xml:space="preserve"> </w:t>
      </w:r>
      <w:r w:rsidRPr="001B46A1">
        <w:rPr>
          <w:rFonts w:cstheme="minorHAnsi"/>
        </w:rPr>
        <w:t>Rafforzare le capacità di indirizzo e verifica dello Stato sulle Regioni, nel rispetto delle loro autonomie, per ridurre diseguaglianze, iniquità e sprechi.</w:t>
      </w:r>
    </w:p>
    <w:p w14:paraId="432A8765" w14:textId="77777777" w:rsidR="00FD45BD" w:rsidRPr="001B46A1" w:rsidRDefault="00FD45BD" w:rsidP="00DA6C57">
      <w:pPr>
        <w:pStyle w:val="Paragrafoelenco"/>
        <w:numPr>
          <w:ilvl w:val="0"/>
          <w:numId w:val="32"/>
        </w:numPr>
        <w:spacing w:line="276" w:lineRule="auto"/>
        <w:jc w:val="both"/>
        <w:rPr>
          <w:rFonts w:cstheme="minorHAnsi"/>
          <w:b/>
          <w:bCs/>
        </w:rPr>
      </w:pPr>
      <w:r w:rsidRPr="001B46A1">
        <w:rPr>
          <w:rFonts w:cstheme="minorHAnsi"/>
          <w:b/>
          <w:bCs/>
        </w:rPr>
        <w:t xml:space="preserve">FINANZIAMENTO PUBBLICO. </w:t>
      </w:r>
      <w:r w:rsidRPr="001B46A1">
        <w:rPr>
          <w:rFonts w:cstheme="minorHAnsi"/>
        </w:rPr>
        <w:t>Rilanciare il finanziamento pubblico per la sanità in maniera consistente e stabile, al fine di allinearlo alla media dei paesi europei.</w:t>
      </w:r>
    </w:p>
    <w:p w14:paraId="51990129" w14:textId="77777777" w:rsidR="00FD45BD" w:rsidRPr="001B46A1" w:rsidRDefault="00FD45BD" w:rsidP="00DA6C57">
      <w:pPr>
        <w:pStyle w:val="Paragrafoelenco"/>
        <w:numPr>
          <w:ilvl w:val="0"/>
          <w:numId w:val="32"/>
        </w:numPr>
        <w:spacing w:line="276" w:lineRule="auto"/>
        <w:jc w:val="both"/>
        <w:rPr>
          <w:rFonts w:cstheme="minorHAnsi"/>
          <w:b/>
          <w:bCs/>
        </w:rPr>
      </w:pPr>
      <w:r w:rsidRPr="001B46A1">
        <w:rPr>
          <w:rFonts w:cstheme="minorHAnsi"/>
          <w:b/>
          <w:bCs/>
        </w:rPr>
        <w:t>LIVELLI ESSENZIALI DI ASSISTENZA.</w:t>
      </w:r>
      <w:r w:rsidRPr="001B46A1">
        <w:rPr>
          <w:rFonts w:cstheme="minorHAnsi"/>
        </w:rPr>
        <w:t xml:space="preserve"> Garantire l’uniforme esigibilità dei LEA in tutto il territorio nazionale, il loro aggiornamento continuo e rigoroso monitoraggio, al fine di ridurre le diseguaglianze e rendere rapidamente accessibili le innovazioni.</w:t>
      </w:r>
    </w:p>
    <w:p w14:paraId="75CE6911"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PROGRAMMAZIONE, ORGANIZZAZIONE E INTEGRAZIONE DEI SERVIZI SANITARI E SOCIO-SANITARI.</w:t>
      </w:r>
      <w:r w:rsidRPr="001B46A1">
        <w:rPr>
          <w:rFonts w:cstheme="minorHAnsi"/>
        </w:rPr>
        <w:t xml:space="preserve"> Programmare l’offerta di servizi sanitari in relazione ai bisogni di salute della popolazione e renderla disponibile tramite reti integrate che condividono percorsi assistenziali, tecnologie e risorse umane, al fine di superare la dicotomia ospedale-territorio e quella tra assistenza sanitaria e sociale.</w:t>
      </w:r>
    </w:p>
    <w:p w14:paraId="0AA1B5F4"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 xml:space="preserve">PERSONALE SANITARIO. </w:t>
      </w:r>
      <w:r w:rsidRPr="001B46A1">
        <w:rPr>
          <w:rFonts w:cstheme="minorHAnsi"/>
        </w:rPr>
        <w:t xml:space="preserve">Rilanciare le politiche sul capitale umano in sanità: investire sul personale sanitario, programmare adeguatamente il fabbisogno di medici, specialisti e altri professionisti sanitari, riformare i processi di formazione e valutazione delle competenze, al fine di valorizzare e motivare la colonna portante del SSN. </w:t>
      </w:r>
    </w:p>
    <w:p w14:paraId="78CE0005"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SPRECHI E INEFFICIENZE.</w:t>
      </w:r>
      <w:r w:rsidRPr="001B46A1">
        <w:rPr>
          <w:rFonts w:cstheme="minorHAnsi"/>
        </w:rPr>
        <w:t xml:space="preserve"> Ridurre gli sprechi e le inefficienze che si annidano a livello politico, organizzativo e professionale, al fine di reinvestire le risorse recuperate in servizi essenziali e vere innovazioni, aumentando il </w:t>
      </w:r>
      <w:r w:rsidRPr="001B46A1">
        <w:rPr>
          <w:rFonts w:cstheme="minorHAnsi"/>
          <w:i/>
        </w:rPr>
        <w:t>value</w:t>
      </w:r>
      <w:r w:rsidRPr="001B46A1">
        <w:rPr>
          <w:rFonts w:cstheme="minorHAnsi"/>
        </w:rPr>
        <w:t xml:space="preserve"> della spesa sanitaria.</w:t>
      </w:r>
      <w:bookmarkStart w:id="3" w:name="_Hlk116038838"/>
    </w:p>
    <w:p w14:paraId="11E3AA5E"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RAPPORTO PUBBLICO-PRIVATO.</w:t>
      </w:r>
      <w:r w:rsidRPr="001B46A1">
        <w:rPr>
          <w:rFonts w:cstheme="minorHAnsi"/>
        </w:rPr>
        <w:t xml:space="preserve"> Disciplinare l’integrazione pubblico-privato secondo i reali bisogni di salute della popolazione </w:t>
      </w:r>
      <w:r w:rsidR="00A04007" w:rsidRPr="001B46A1">
        <w:rPr>
          <w:rFonts w:cstheme="minorHAnsi"/>
        </w:rPr>
        <w:t xml:space="preserve">e regolamentare la libera professione per </w:t>
      </w:r>
      <w:r w:rsidRPr="001B46A1">
        <w:rPr>
          <w:rFonts w:cstheme="minorHAnsi"/>
        </w:rPr>
        <w:t xml:space="preserve">evitare diseguaglianze e iniquità di accesso. </w:t>
      </w:r>
      <w:bookmarkStart w:id="4" w:name="_Hlk116220373"/>
      <w:bookmarkEnd w:id="3"/>
    </w:p>
    <w:p w14:paraId="660B9703"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lastRenderedPageBreak/>
        <w:t>SANITÀ INTEGRATIVA</w:t>
      </w:r>
      <w:bookmarkEnd w:id="4"/>
      <w:r w:rsidRPr="001B46A1">
        <w:rPr>
          <w:rFonts w:cstheme="minorHAnsi"/>
          <w:b/>
          <w:bCs/>
        </w:rPr>
        <w:t>.</w:t>
      </w:r>
      <w:r w:rsidRPr="001B46A1">
        <w:rPr>
          <w:rFonts w:cstheme="minorHAnsi"/>
        </w:rPr>
        <w:t xml:space="preserve"> Avviare un riordino legislativo della sanità integrativa al fine di arginare fenomeni di privatizzazione, aumento delle diseguaglianze, derive consumistiche ed erosione di risorse pubbliche.</w:t>
      </w:r>
    </w:p>
    <w:p w14:paraId="65AD3723"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TICKET E DETRAZIONI FISCALI.</w:t>
      </w:r>
      <w:r w:rsidRPr="001B46A1">
        <w:rPr>
          <w:rFonts w:cstheme="minorHAnsi"/>
        </w:rPr>
        <w:t xml:space="preserve"> Rimodulare ticket e detrazioni fiscali per le spese sanitarie, secondo princìpi di equità sociale e prove di efficacia di farmaci e prestazioni, al fine di evitare sprechi di denaro pubblico e ridurre il consumismo sanitario.</w:t>
      </w:r>
    </w:p>
    <w:p w14:paraId="41292CE1"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 xml:space="preserve">TRANSIZIONE DIGITALE. </w:t>
      </w:r>
      <w:r w:rsidRPr="001B46A1">
        <w:rPr>
          <w:rFonts w:cstheme="minorHAnsi"/>
        </w:rPr>
        <w:t>Diffondere la cultura digitale e promuovere le competenze tecniche tra professionisti sanitari e cittadini, al fine di massimizzare le potenzialità delle tecnologie digitali e di migliorare accessibilità ed efficienza in sanità e minimizzare le diseguaglianze.</w:t>
      </w:r>
    </w:p>
    <w:p w14:paraId="63AB948B" w14:textId="77777777" w:rsidR="00FD45BD" w:rsidRPr="001B46A1" w:rsidRDefault="00FD45BD" w:rsidP="00892826">
      <w:pPr>
        <w:pStyle w:val="Paragrafoelenco"/>
        <w:numPr>
          <w:ilvl w:val="0"/>
          <w:numId w:val="32"/>
        </w:numPr>
        <w:spacing w:line="276" w:lineRule="auto"/>
        <w:jc w:val="both"/>
        <w:rPr>
          <w:rFonts w:cstheme="minorHAnsi"/>
          <w:b/>
          <w:bCs/>
        </w:rPr>
      </w:pPr>
      <w:r w:rsidRPr="001B46A1">
        <w:rPr>
          <w:rFonts w:cstheme="minorHAnsi"/>
          <w:b/>
          <w:bCs/>
        </w:rPr>
        <w:t>INFORMAZIONE AI CITTADINI.</w:t>
      </w:r>
      <w:r w:rsidRPr="001B46A1">
        <w:rPr>
          <w:rFonts w:cstheme="minorHAnsi"/>
        </w:rPr>
        <w:t xml:space="preserve"> Potenziare l’informazione istituzionale basata sulle migliori evidenze scientifiche, al fine di promuovere sani stili di vita, ridurre il consumismo sanitario, aumentare l’alfabetizzazione sanitaria della popolazione, contrastare le fake news e favorire decisioni informate sulla salute.</w:t>
      </w:r>
    </w:p>
    <w:p w14:paraId="486E8C69" w14:textId="77777777" w:rsidR="002A3622" w:rsidRPr="001B46A1" w:rsidRDefault="00FD45BD" w:rsidP="00DA6C57">
      <w:pPr>
        <w:pStyle w:val="Paragrafoelenco"/>
        <w:numPr>
          <w:ilvl w:val="0"/>
          <w:numId w:val="32"/>
        </w:numPr>
        <w:spacing w:line="276" w:lineRule="auto"/>
        <w:jc w:val="both"/>
        <w:rPr>
          <w:rFonts w:cstheme="minorHAnsi"/>
          <w:b/>
          <w:bCs/>
        </w:rPr>
      </w:pPr>
      <w:r w:rsidRPr="001B46A1">
        <w:rPr>
          <w:rFonts w:cstheme="minorHAnsi"/>
          <w:b/>
          <w:bCs/>
        </w:rPr>
        <w:t>RICERCA SANITARIA.</w:t>
      </w:r>
      <w:r w:rsidRPr="001B46A1">
        <w:rPr>
          <w:rFonts w:cstheme="minorHAnsi"/>
        </w:rPr>
        <w:t xml:space="preserve"> Destinare alla ricerca clinica indipendente e alla ricerca sui servizi sanitari un importo pari ad almeno il 2% del fabbisogno sanitario nazionale standard, al fine di produrre evidenze scientifiche per informare scelte e investimenti del SSN.</w:t>
      </w:r>
      <w:bookmarkEnd w:id="2"/>
    </w:p>
    <w:p w14:paraId="540D71E8" w14:textId="77777777" w:rsidR="00A04007" w:rsidRPr="00A90AD0" w:rsidRDefault="00A04007" w:rsidP="00A04007">
      <w:pPr>
        <w:pStyle w:val="Paragrafoelenco"/>
        <w:spacing w:line="276" w:lineRule="auto"/>
        <w:ind w:left="360"/>
        <w:jc w:val="both"/>
        <w:rPr>
          <w:rFonts w:cstheme="minorHAnsi"/>
          <w:b/>
          <w:bCs/>
          <w:color w:val="FF0000"/>
        </w:rPr>
      </w:pPr>
    </w:p>
    <w:p w14:paraId="22D7C25A" w14:textId="00D9D5D2" w:rsidR="00FD63E4" w:rsidRPr="005240BD" w:rsidRDefault="00FD63E4" w:rsidP="00FD63E4">
      <w:pPr>
        <w:rPr>
          <w:rFonts w:cstheme="minorHAnsi"/>
        </w:rPr>
      </w:pPr>
      <w:r w:rsidRPr="005240BD">
        <w:rPr>
          <w:rFonts w:cstheme="minorHAnsi"/>
        </w:rPr>
        <w:t xml:space="preserve">La versione integrale del </w:t>
      </w:r>
      <w:r>
        <w:rPr>
          <w:rFonts w:cstheme="minorHAnsi"/>
        </w:rPr>
        <w:t>6</w:t>
      </w:r>
      <w:r w:rsidRPr="005240BD">
        <w:rPr>
          <w:rFonts w:cstheme="minorHAnsi"/>
        </w:rPr>
        <w:t>° Rapporto GIMBE è disponibile a:</w:t>
      </w:r>
      <w:r>
        <w:rPr>
          <w:rFonts w:cstheme="minorHAnsi"/>
        </w:rPr>
        <w:t xml:space="preserve"> </w:t>
      </w:r>
      <w:hyperlink r:id="rId9" w:history="1">
        <w:r w:rsidRPr="00CE5D03">
          <w:rPr>
            <w:rStyle w:val="Collegamentoipertestuale"/>
            <w:rFonts w:cstheme="minorHAnsi"/>
          </w:rPr>
          <w:t>www.salviamo-ssn.it/6-rapporto</w:t>
        </w:r>
      </w:hyperlink>
      <w:r w:rsidR="00984E46">
        <w:rPr>
          <w:rFonts w:cstheme="minorHAnsi"/>
        </w:rPr>
        <w:t xml:space="preserve"> </w:t>
      </w:r>
    </w:p>
    <w:p w14:paraId="4A47ADD8" w14:textId="77777777" w:rsidR="00FD63E4" w:rsidRPr="005240BD" w:rsidRDefault="00FD63E4" w:rsidP="00FD63E4">
      <w:pPr>
        <w:spacing w:after="0"/>
        <w:rPr>
          <w:rFonts w:eastAsia="Calibri" w:cstheme="minorHAnsi"/>
        </w:rPr>
      </w:pPr>
      <w:r w:rsidRPr="005240BD">
        <w:rPr>
          <w:rFonts w:eastAsia="Calibri" w:cstheme="minorHAnsi"/>
          <w:b/>
          <w:bCs/>
        </w:rPr>
        <w:t>Fondazione GIMBE</w:t>
      </w:r>
      <w:r w:rsidRPr="005240BD">
        <w:rPr>
          <w:rFonts w:eastAsia="Calibri" w:cstheme="minorHAnsi"/>
        </w:rPr>
        <w:br/>
        <w:t>Via Amendola 2 - 40121 Bologna</w:t>
      </w:r>
    </w:p>
    <w:p w14:paraId="3AE50552" w14:textId="77777777" w:rsidR="00FD63E4" w:rsidRPr="005240BD" w:rsidRDefault="00FD63E4" w:rsidP="00FD63E4">
      <w:pPr>
        <w:spacing w:after="0"/>
        <w:rPr>
          <w:rFonts w:eastAsia="Calibri" w:cstheme="minorHAnsi"/>
        </w:rPr>
      </w:pPr>
      <w:r w:rsidRPr="005240BD">
        <w:rPr>
          <w:rFonts w:eastAsia="Calibri" w:cstheme="minorHAnsi"/>
        </w:rPr>
        <w:t>Tel. 051 5883920 - Fax 051 4075774</w:t>
      </w:r>
    </w:p>
    <w:p w14:paraId="7F09EA0F" w14:textId="77777777" w:rsidR="00FD63E4" w:rsidRDefault="00FD63E4" w:rsidP="00FD63E4">
      <w:pPr>
        <w:spacing w:after="0"/>
        <w:rPr>
          <w:rFonts w:eastAsia="Calibri" w:cstheme="minorHAnsi"/>
        </w:rPr>
      </w:pPr>
      <w:r w:rsidRPr="005240BD">
        <w:rPr>
          <w:rFonts w:eastAsia="Calibri" w:cstheme="minorHAnsi"/>
        </w:rPr>
        <w:t xml:space="preserve">E-mail: </w:t>
      </w:r>
      <w:hyperlink r:id="rId10" w:history="1">
        <w:r w:rsidRPr="005240BD">
          <w:rPr>
            <w:rFonts w:eastAsia="Calibri" w:cstheme="minorHAnsi"/>
          </w:rPr>
          <w:t>ufficio.stampa@gimbe.org</w:t>
        </w:r>
      </w:hyperlink>
    </w:p>
    <w:p w14:paraId="3A654865" w14:textId="77777777" w:rsidR="0001114E" w:rsidRDefault="00451586" w:rsidP="00CC3536">
      <w:pPr>
        <w:spacing w:after="0"/>
        <w:rPr>
          <w:rFonts w:eastAsia="Calibri" w:cstheme="minorHAnsi"/>
        </w:rPr>
      </w:pPr>
      <w:r>
        <w:rPr>
          <w:rFonts w:eastAsia="Calibri" w:cstheme="minorHAnsi"/>
        </w:rPr>
        <w:br w:type="page"/>
      </w:r>
    </w:p>
    <w:p w14:paraId="5A9729C6" w14:textId="77777777" w:rsidR="0001114E" w:rsidRDefault="0001114E" w:rsidP="00451586">
      <w:pPr>
        <w:spacing w:after="0"/>
        <w:jc w:val="center"/>
        <w:rPr>
          <w:b/>
          <w:bCs/>
          <w:color w:val="00457D"/>
          <w:sz w:val="24"/>
          <w:szCs w:val="24"/>
          <w:u w:color="00457D"/>
        </w:rPr>
      </w:pPr>
    </w:p>
    <w:p w14:paraId="742A7E06" w14:textId="3991022E" w:rsidR="00451586" w:rsidRDefault="00451586" w:rsidP="00D43662">
      <w:pPr>
        <w:spacing w:after="0" w:line="360" w:lineRule="auto"/>
        <w:jc w:val="center"/>
        <w:rPr>
          <w:b/>
          <w:bCs/>
          <w:color w:val="00457D"/>
          <w:sz w:val="24"/>
          <w:szCs w:val="24"/>
          <w:u w:color="00457D"/>
        </w:rPr>
      </w:pPr>
      <w:r w:rsidRPr="00D44AA7">
        <w:rPr>
          <w:b/>
          <w:bCs/>
          <w:color w:val="00457D"/>
          <w:sz w:val="24"/>
          <w:szCs w:val="24"/>
          <w:u w:color="00457D"/>
        </w:rPr>
        <w:t>Figura 1</w:t>
      </w:r>
    </w:p>
    <w:p w14:paraId="5D6F4A46" w14:textId="77777777" w:rsidR="00D43662" w:rsidRPr="00D43662" w:rsidRDefault="00D43662" w:rsidP="00D43662">
      <w:pPr>
        <w:spacing w:after="0"/>
        <w:jc w:val="center"/>
        <w:rPr>
          <w:b/>
          <w:bCs/>
          <w:color w:val="00457D"/>
          <w:sz w:val="24"/>
          <w:szCs w:val="24"/>
          <w:u w:color="00457D"/>
        </w:rPr>
      </w:pPr>
      <w:r w:rsidRPr="00D43662">
        <w:rPr>
          <w:b/>
          <w:bCs/>
          <w:color w:val="00457D"/>
          <w:sz w:val="24"/>
          <w:szCs w:val="24"/>
          <w:u w:color="00457D"/>
        </w:rPr>
        <w:t>Fabbisogno Sanitario Nazionale: trend 2010-2023</w:t>
      </w:r>
    </w:p>
    <w:p w14:paraId="1D319801" w14:textId="266A3B1B" w:rsidR="00451586" w:rsidRPr="00D44AA7" w:rsidRDefault="00D43662" w:rsidP="00451586">
      <w:pPr>
        <w:spacing w:after="0"/>
        <w:jc w:val="center"/>
        <w:rPr>
          <w:b/>
          <w:bCs/>
          <w:color w:val="00457D"/>
          <w:sz w:val="24"/>
          <w:szCs w:val="24"/>
          <w:u w:color="00457D"/>
        </w:rPr>
      </w:pPr>
      <w:r>
        <w:rPr>
          <w:rFonts w:ascii="Cambria" w:hAnsi="Cambria" w:cstheme="minorHAnsi"/>
          <w:noProof/>
          <w:sz w:val="32"/>
          <w:lang w:eastAsia="it-IT"/>
        </w:rPr>
        <w:drawing>
          <wp:inline distT="0" distB="0" distL="0" distR="0" wp14:anchorId="546A3733" wp14:editId="09D488CE">
            <wp:extent cx="5040000" cy="2944751"/>
            <wp:effectExtent l="0" t="0" r="8255"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0" cy="2944751"/>
                    </a:xfrm>
                    <a:prstGeom prst="rect">
                      <a:avLst/>
                    </a:prstGeom>
                    <a:noFill/>
                  </pic:spPr>
                </pic:pic>
              </a:graphicData>
            </a:graphic>
          </wp:inline>
        </w:drawing>
      </w:r>
    </w:p>
    <w:p w14:paraId="12A12087" w14:textId="77777777" w:rsidR="00451586" w:rsidRDefault="00451586" w:rsidP="0034210D">
      <w:pPr>
        <w:spacing w:after="0"/>
        <w:rPr>
          <w:rFonts w:eastAsia="Calibri" w:cstheme="minorHAnsi"/>
        </w:rPr>
      </w:pPr>
    </w:p>
    <w:p w14:paraId="4A699D6E" w14:textId="77777777" w:rsidR="0001114E" w:rsidRDefault="0001114E" w:rsidP="00D81357">
      <w:pPr>
        <w:spacing w:after="0"/>
        <w:jc w:val="center"/>
        <w:rPr>
          <w:b/>
          <w:bCs/>
          <w:color w:val="00457D"/>
          <w:sz w:val="24"/>
          <w:szCs w:val="24"/>
          <w:u w:color="00457D"/>
        </w:rPr>
      </w:pPr>
    </w:p>
    <w:p w14:paraId="50C95C40" w14:textId="0511ED8E" w:rsidR="00D81357" w:rsidRDefault="00D81357" w:rsidP="006051D7">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2</w:t>
      </w:r>
    </w:p>
    <w:p w14:paraId="1BD30BAC" w14:textId="5CC82799" w:rsidR="006051D7" w:rsidRDefault="006051D7" w:rsidP="00D81357">
      <w:pPr>
        <w:spacing w:after="0"/>
        <w:jc w:val="center"/>
        <w:rPr>
          <w:b/>
          <w:bCs/>
          <w:color w:val="00457D"/>
          <w:sz w:val="24"/>
          <w:szCs w:val="24"/>
          <w:u w:color="00457D"/>
        </w:rPr>
      </w:pPr>
      <w:r w:rsidRPr="006051D7">
        <w:rPr>
          <w:b/>
          <w:bCs/>
          <w:color w:val="00457D"/>
          <w:sz w:val="24"/>
          <w:szCs w:val="24"/>
          <w:u w:color="00457D"/>
        </w:rPr>
        <w:t>2010-2023: variazione percentuale del FSN e dell’inflazione</w:t>
      </w:r>
    </w:p>
    <w:p w14:paraId="57E4F48A" w14:textId="4FBC9E0B" w:rsidR="00D81357" w:rsidRDefault="006051D7" w:rsidP="0001114E">
      <w:pPr>
        <w:spacing w:after="0"/>
        <w:jc w:val="center"/>
        <w:rPr>
          <w:rFonts w:eastAsia="Calibri" w:cstheme="minorHAnsi"/>
        </w:rPr>
      </w:pPr>
      <w:r>
        <w:rPr>
          <w:rFonts w:ascii="Cambria" w:hAnsi="Cambria"/>
          <w:b/>
          <w:noProof/>
          <w:color w:val="00457D"/>
          <w:sz w:val="18"/>
          <w:lang w:eastAsia="it-IT"/>
        </w:rPr>
        <w:drawing>
          <wp:inline distT="0" distB="0" distL="0" distR="0" wp14:anchorId="1DA5D5B5" wp14:editId="7E044682">
            <wp:extent cx="5040000" cy="3027123"/>
            <wp:effectExtent l="0" t="0" r="8255" b="190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0" cy="3027123"/>
                    </a:xfrm>
                    <a:prstGeom prst="rect">
                      <a:avLst/>
                    </a:prstGeom>
                    <a:noFill/>
                  </pic:spPr>
                </pic:pic>
              </a:graphicData>
            </a:graphic>
          </wp:inline>
        </w:drawing>
      </w:r>
    </w:p>
    <w:p w14:paraId="1207E982" w14:textId="74E142B6" w:rsidR="006051D7" w:rsidRDefault="006051D7" w:rsidP="0001114E">
      <w:pPr>
        <w:spacing w:after="0"/>
        <w:jc w:val="center"/>
        <w:rPr>
          <w:rFonts w:eastAsia="Calibri" w:cstheme="minorHAnsi"/>
        </w:rPr>
      </w:pPr>
    </w:p>
    <w:p w14:paraId="00C9457E" w14:textId="447BB28A" w:rsidR="006051D7" w:rsidRDefault="006051D7">
      <w:pPr>
        <w:rPr>
          <w:rFonts w:eastAsia="Calibri" w:cstheme="minorHAnsi"/>
        </w:rPr>
      </w:pPr>
      <w:r>
        <w:rPr>
          <w:rFonts w:eastAsia="Calibri" w:cstheme="minorHAnsi"/>
        </w:rPr>
        <w:br w:type="page"/>
      </w:r>
    </w:p>
    <w:p w14:paraId="0B3E6128" w14:textId="77777777" w:rsidR="006051D7" w:rsidRDefault="006051D7" w:rsidP="006051D7">
      <w:pPr>
        <w:spacing w:after="0" w:line="360" w:lineRule="auto"/>
        <w:jc w:val="center"/>
        <w:rPr>
          <w:b/>
          <w:bCs/>
          <w:color w:val="00457D"/>
          <w:sz w:val="24"/>
          <w:szCs w:val="24"/>
          <w:u w:color="00457D"/>
        </w:rPr>
      </w:pPr>
    </w:p>
    <w:p w14:paraId="2B8AA9F0" w14:textId="764B635F" w:rsidR="006051D7" w:rsidRDefault="006051D7" w:rsidP="006051D7">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3</w:t>
      </w:r>
    </w:p>
    <w:p w14:paraId="0586448D" w14:textId="1501B28D" w:rsidR="005C0C5C" w:rsidRDefault="006051D7" w:rsidP="006051D7">
      <w:pPr>
        <w:spacing w:after="0"/>
        <w:jc w:val="center"/>
        <w:rPr>
          <w:b/>
          <w:bCs/>
          <w:color w:val="00457D"/>
          <w:sz w:val="24"/>
          <w:szCs w:val="24"/>
          <w:u w:color="00457D"/>
        </w:rPr>
      </w:pPr>
      <w:r w:rsidRPr="006051D7">
        <w:rPr>
          <w:b/>
          <w:bCs/>
          <w:color w:val="00457D"/>
          <w:sz w:val="24"/>
          <w:szCs w:val="24"/>
          <w:u w:color="00457D"/>
        </w:rPr>
        <w:t>Composizione della spesa sanitaria (dati ISTAT-SHA, anno 2022)</w:t>
      </w:r>
      <w:r w:rsidRPr="006051D7">
        <w:rPr>
          <w:b/>
          <w:bCs/>
          <w:noProof/>
          <w:color w:val="00457D"/>
          <w:sz w:val="24"/>
          <w:szCs w:val="24"/>
          <w:u w:color="00457D"/>
          <w:lang w:eastAsia="it-IT"/>
        </w:rPr>
        <w:drawing>
          <wp:inline distT="0" distB="0" distL="0" distR="0" wp14:anchorId="07908BF4" wp14:editId="2A2E5D43">
            <wp:extent cx="5040000" cy="3119073"/>
            <wp:effectExtent l="0" t="0" r="8255" b="571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3119073"/>
                    </a:xfrm>
                    <a:prstGeom prst="rect">
                      <a:avLst/>
                    </a:prstGeom>
                    <a:noFill/>
                  </pic:spPr>
                </pic:pic>
              </a:graphicData>
            </a:graphic>
          </wp:inline>
        </w:drawing>
      </w:r>
    </w:p>
    <w:p w14:paraId="7D2B90AE" w14:textId="38FD2D88" w:rsidR="006051D7" w:rsidRDefault="006051D7" w:rsidP="006051D7">
      <w:pPr>
        <w:spacing w:after="0"/>
        <w:jc w:val="center"/>
        <w:rPr>
          <w:b/>
          <w:bCs/>
          <w:color w:val="00457D"/>
          <w:sz w:val="24"/>
          <w:szCs w:val="24"/>
          <w:u w:color="00457D"/>
        </w:rPr>
      </w:pPr>
    </w:p>
    <w:p w14:paraId="63C88F26" w14:textId="77777777" w:rsidR="006051D7" w:rsidRDefault="006051D7" w:rsidP="006051D7">
      <w:pPr>
        <w:spacing w:after="0"/>
        <w:jc w:val="center"/>
        <w:rPr>
          <w:b/>
          <w:bCs/>
          <w:color w:val="00457D"/>
          <w:sz w:val="24"/>
          <w:szCs w:val="24"/>
          <w:u w:color="00457D"/>
        </w:rPr>
      </w:pPr>
    </w:p>
    <w:p w14:paraId="0533E297" w14:textId="4F1054C6" w:rsidR="006051D7" w:rsidRDefault="006051D7" w:rsidP="006051D7">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4</w:t>
      </w:r>
    </w:p>
    <w:p w14:paraId="434326B2" w14:textId="77777777" w:rsidR="006051D7" w:rsidRPr="006051D7" w:rsidRDefault="006051D7" w:rsidP="006051D7">
      <w:pPr>
        <w:spacing w:after="0"/>
        <w:jc w:val="center"/>
        <w:rPr>
          <w:b/>
          <w:bCs/>
          <w:color w:val="00457D"/>
          <w:sz w:val="24"/>
          <w:szCs w:val="24"/>
          <w:u w:color="00457D"/>
        </w:rPr>
      </w:pPr>
      <w:r w:rsidRPr="006051D7">
        <w:rPr>
          <w:b/>
          <w:bCs/>
          <w:color w:val="00457D"/>
          <w:sz w:val="24"/>
          <w:szCs w:val="24"/>
          <w:u w:color="00457D"/>
        </w:rPr>
        <w:t xml:space="preserve">Trend spesa pubblica pro-capite 2008-2022: </w:t>
      </w:r>
    </w:p>
    <w:p w14:paraId="22157454" w14:textId="0B160D1B" w:rsidR="006051D7" w:rsidRDefault="006051D7" w:rsidP="006051D7">
      <w:pPr>
        <w:spacing w:after="0"/>
        <w:jc w:val="center"/>
        <w:rPr>
          <w:b/>
          <w:bCs/>
          <w:color w:val="00457D"/>
          <w:sz w:val="24"/>
          <w:szCs w:val="24"/>
          <w:u w:color="00457D"/>
        </w:rPr>
      </w:pPr>
      <w:r w:rsidRPr="006051D7">
        <w:rPr>
          <w:b/>
          <w:bCs/>
          <w:color w:val="00457D"/>
          <w:sz w:val="24"/>
          <w:szCs w:val="24"/>
          <w:u w:color="00457D"/>
        </w:rPr>
        <w:t>media paesi europei vs Italia (dati OCSE)</w:t>
      </w:r>
      <w:r>
        <w:rPr>
          <w:noProof/>
          <w:lang w:eastAsia="it-IT"/>
        </w:rPr>
        <w:drawing>
          <wp:inline distT="0" distB="0" distL="0" distR="0" wp14:anchorId="26039D9D" wp14:editId="73C25AD0">
            <wp:extent cx="5040000" cy="3331402"/>
            <wp:effectExtent l="0" t="0" r="8255" b="254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0" cy="3331402"/>
                    </a:xfrm>
                    <a:prstGeom prst="rect">
                      <a:avLst/>
                    </a:prstGeom>
                    <a:noFill/>
                  </pic:spPr>
                </pic:pic>
              </a:graphicData>
            </a:graphic>
          </wp:inline>
        </w:drawing>
      </w:r>
    </w:p>
    <w:p w14:paraId="379A0860" w14:textId="77777777" w:rsidR="006051D7" w:rsidRDefault="006051D7">
      <w:pPr>
        <w:rPr>
          <w:b/>
          <w:bCs/>
          <w:color w:val="00457D"/>
          <w:sz w:val="24"/>
          <w:szCs w:val="24"/>
          <w:u w:color="00457D"/>
        </w:rPr>
      </w:pPr>
      <w:r>
        <w:rPr>
          <w:b/>
          <w:bCs/>
          <w:color w:val="00457D"/>
          <w:sz w:val="24"/>
          <w:szCs w:val="24"/>
          <w:u w:color="00457D"/>
        </w:rPr>
        <w:br w:type="page"/>
      </w:r>
    </w:p>
    <w:p w14:paraId="305F6BDF" w14:textId="77777777" w:rsidR="006051D7" w:rsidRDefault="006051D7" w:rsidP="006051D7">
      <w:pPr>
        <w:spacing w:after="0" w:line="360" w:lineRule="auto"/>
        <w:jc w:val="center"/>
        <w:rPr>
          <w:b/>
          <w:bCs/>
          <w:color w:val="00457D"/>
          <w:sz w:val="24"/>
          <w:szCs w:val="24"/>
          <w:u w:color="00457D"/>
        </w:rPr>
      </w:pPr>
    </w:p>
    <w:p w14:paraId="7191E820" w14:textId="69139C48" w:rsidR="006051D7" w:rsidRDefault="006051D7" w:rsidP="006051D7">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5</w:t>
      </w:r>
    </w:p>
    <w:p w14:paraId="708DB91D" w14:textId="77777777" w:rsidR="006051D7" w:rsidRPr="006051D7" w:rsidRDefault="006051D7" w:rsidP="006051D7">
      <w:pPr>
        <w:spacing w:after="0"/>
        <w:jc w:val="center"/>
        <w:rPr>
          <w:b/>
          <w:bCs/>
          <w:color w:val="00457D"/>
          <w:sz w:val="24"/>
          <w:szCs w:val="24"/>
          <w:u w:color="00457D"/>
        </w:rPr>
      </w:pPr>
      <w:r w:rsidRPr="006051D7">
        <w:rPr>
          <w:b/>
          <w:bCs/>
          <w:color w:val="00457D"/>
          <w:sz w:val="24"/>
          <w:szCs w:val="24"/>
          <w:u w:color="00457D"/>
        </w:rPr>
        <w:t>Gap cumulativo della spesa sanitaria pubblica totale 2011-2022</w:t>
      </w:r>
    </w:p>
    <w:p w14:paraId="26A25C5B" w14:textId="08E3228E" w:rsidR="006051D7" w:rsidRDefault="006051D7" w:rsidP="006051D7">
      <w:pPr>
        <w:spacing w:after="0"/>
        <w:jc w:val="center"/>
        <w:rPr>
          <w:b/>
          <w:bCs/>
          <w:color w:val="00457D"/>
          <w:sz w:val="24"/>
          <w:szCs w:val="24"/>
          <w:u w:color="00457D"/>
        </w:rPr>
      </w:pPr>
      <w:r w:rsidRPr="006051D7">
        <w:rPr>
          <w:b/>
          <w:bCs/>
          <w:color w:val="00457D"/>
          <w:sz w:val="24"/>
          <w:szCs w:val="24"/>
          <w:u w:color="00457D"/>
        </w:rPr>
        <w:t xml:space="preserve">dell’Italia vs media </w:t>
      </w:r>
      <w:r w:rsidR="00B81FBF">
        <w:rPr>
          <w:b/>
          <w:bCs/>
          <w:color w:val="00457D"/>
          <w:sz w:val="24"/>
          <w:szCs w:val="24"/>
          <w:u w:color="00457D"/>
        </w:rPr>
        <w:t>p</w:t>
      </w:r>
      <w:r w:rsidRPr="006051D7">
        <w:rPr>
          <w:b/>
          <w:bCs/>
          <w:color w:val="00457D"/>
          <w:sz w:val="24"/>
          <w:szCs w:val="24"/>
          <w:u w:color="00457D"/>
        </w:rPr>
        <w:t>aesi europei (elaborazione GIMBE su dati OCSE)</w:t>
      </w:r>
      <w:r>
        <w:rPr>
          <w:b/>
          <w:bCs/>
          <w:noProof/>
          <w:color w:val="00457D"/>
          <w:sz w:val="24"/>
          <w:szCs w:val="24"/>
          <w:u w:color="00457D"/>
          <w:lang w:eastAsia="it-IT"/>
        </w:rPr>
        <w:drawing>
          <wp:inline distT="0" distB="0" distL="0" distR="0" wp14:anchorId="647D35BD" wp14:editId="13EEC038">
            <wp:extent cx="5041900" cy="278638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900" cy="2786380"/>
                    </a:xfrm>
                    <a:prstGeom prst="rect">
                      <a:avLst/>
                    </a:prstGeom>
                    <a:noFill/>
                  </pic:spPr>
                </pic:pic>
              </a:graphicData>
            </a:graphic>
          </wp:inline>
        </w:drawing>
      </w:r>
    </w:p>
    <w:p w14:paraId="48D69E8C" w14:textId="1059F8D8" w:rsidR="006051D7" w:rsidRDefault="006051D7" w:rsidP="006051D7">
      <w:pPr>
        <w:spacing w:after="0"/>
        <w:jc w:val="center"/>
        <w:rPr>
          <w:b/>
          <w:bCs/>
          <w:color w:val="00457D"/>
          <w:sz w:val="24"/>
          <w:szCs w:val="24"/>
          <w:u w:color="00457D"/>
        </w:rPr>
      </w:pPr>
    </w:p>
    <w:p w14:paraId="4E5FE410" w14:textId="77777777" w:rsidR="006051D7" w:rsidRDefault="006051D7" w:rsidP="006051D7">
      <w:pPr>
        <w:spacing w:after="0" w:line="360" w:lineRule="auto"/>
        <w:jc w:val="center"/>
        <w:rPr>
          <w:b/>
          <w:bCs/>
          <w:color w:val="00457D"/>
          <w:sz w:val="24"/>
          <w:szCs w:val="24"/>
          <w:u w:color="00457D"/>
        </w:rPr>
      </w:pPr>
    </w:p>
    <w:p w14:paraId="7D4E2265" w14:textId="65C19437" w:rsidR="006051D7" w:rsidRDefault="006051D7" w:rsidP="006051D7">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6</w:t>
      </w:r>
    </w:p>
    <w:p w14:paraId="1E1DBEA1" w14:textId="3EF6CB85" w:rsidR="006051D7" w:rsidRDefault="006051D7" w:rsidP="006051D7">
      <w:pPr>
        <w:spacing w:after="0"/>
        <w:jc w:val="center"/>
        <w:rPr>
          <w:b/>
          <w:bCs/>
          <w:color w:val="00457D"/>
          <w:sz w:val="24"/>
          <w:szCs w:val="24"/>
          <w:u w:color="00457D"/>
        </w:rPr>
      </w:pPr>
      <w:r w:rsidRPr="006051D7">
        <w:rPr>
          <w:b/>
          <w:bCs/>
          <w:color w:val="00457D"/>
          <w:sz w:val="24"/>
          <w:szCs w:val="24"/>
          <w:u w:color="00457D"/>
        </w:rPr>
        <w:t xml:space="preserve">Spesa sanitaria pubblica totale necessaria per colmare il gap con la media </w:t>
      </w:r>
      <w:r w:rsidRPr="006051D7">
        <w:rPr>
          <w:b/>
          <w:bCs/>
          <w:color w:val="00457D"/>
          <w:sz w:val="24"/>
          <w:szCs w:val="24"/>
          <w:u w:color="00457D"/>
        </w:rPr>
        <w:br/>
        <w:t xml:space="preserve">dei </w:t>
      </w:r>
      <w:r w:rsidR="00B81FBF">
        <w:rPr>
          <w:b/>
          <w:bCs/>
          <w:color w:val="00457D"/>
          <w:sz w:val="24"/>
          <w:szCs w:val="24"/>
          <w:u w:color="00457D"/>
        </w:rPr>
        <w:t>p</w:t>
      </w:r>
      <w:r w:rsidRPr="006051D7">
        <w:rPr>
          <w:b/>
          <w:bCs/>
          <w:color w:val="00457D"/>
          <w:sz w:val="24"/>
          <w:szCs w:val="24"/>
          <w:u w:color="00457D"/>
        </w:rPr>
        <w:t>aesi europei nel 2030 (elaborazione GIMBE su dati OCSE)</w:t>
      </w:r>
      <w:r>
        <w:rPr>
          <w:b/>
          <w:bCs/>
          <w:noProof/>
          <w:color w:val="00457D"/>
          <w:sz w:val="24"/>
          <w:szCs w:val="24"/>
          <w:u w:color="00457D"/>
          <w:lang w:eastAsia="it-IT"/>
        </w:rPr>
        <w:drawing>
          <wp:inline distT="0" distB="0" distL="0" distR="0" wp14:anchorId="200CB167" wp14:editId="59E912D0">
            <wp:extent cx="5041900" cy="2621280"/>
            <wp:effectExtent l="0" t="0" r="635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2621280"/>
                    </a:xfrm>
                    <a:prstGeom prst="rect">
                      <a:avLst/>
                    </a:prstGeom>
                    <a:noFill/>
                  </pic:spPr>
                </pic:pic>
              </a:graphicData>
            </a:graphic>
          </wp:inline>
        </w:drawing>
      </w:r>
    </w:p>
    <w:p w14:paraId="54C860A4" w14:textId="77777777" w:rsidR="006051D7" w:rsidRDefault="006051D7" w:rsidP="006051D7">
      <w:pPr>
        <w:spacing w:after="0"/>
        <w:jc w:val="center"/>
        <w:rPr>
          <w:b/>
          <w:bCs/>
          <w:color w:val="00457D"/>
          <w:sz w:val="24"/>
          <w:szCs w:val="24"/>
          <w:u w:color="00457D"/>
        </w:rPr>
      </w:pPr>
    </w:p>
    <w:p w14:paraId="2BB0B954" w14:textId="796F5A45" w:rsidR="006051D7" w:rsidRDefault="006051D7">
      <w:pPr>
        <w:rPr>
          <w:b/>
          <w:bCs/>
          <w:color w:val="00457D"/>
          <w:sz w:val="24"/>
          <w:szCs w:val="24"/>
          <w:u w:color="00457D"/>
        </w:rPr>
      </w:pPr>
      <w:r>
        <w:rPr>
          <w:b/>
          <w:bCs/>
          <w:color w:val="00457D"/>
          <w:sz w:val="24"/>
          <w:szCs w:val="24"/>
          <w:u w:color="00457D"/>
        </w:rPr>
        <w:br w:type="page"/>
      </w:r>
    </w:p>
    <w:p w14:paraId="13507AC0" w14:textId="77777777" w:rsidR="00871FE1" w:rsidRDefault="00871FE1" w:rsidP="00871FE1">
      <w:pPr>
        <w:spacing w:after="0" w:line="360" w:lineRule="auto"/>
        <w:jc w:val="center"/>
        <w:rPr>
          <w:b/>
          <w:bCs/>
          <w:color w:val="00457D"/>
          <w:sz w:val="24"/>
          <w:szCs w:val="24"/>
          <w:u w:color="00457D"/>
        </w:rPr>
      </w:pPr>
    </w:p>
    <w:p w14:paraId="4BF220E9" w14:textId="6B6D54CD" w:rsidR="00871FE1" w:rsidRDefault="00871FE1" w:rsidP="00871FE1">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7</w:t>
      </w:r>
    </w:p>
    <w:p w14:paraId="3FE6EFCB" w14:textId="3D01DC16" w:rsidR="005C0C5C" w:rsidRDefault="00871FE1" w:rsidP="00871FE1">
      <w:pPr>
        <w:jc w:val="center"/>
        <w:rPr>
          <w:b/>
          <w:bCs/>
          <w:color w:val="00457D"/>
          <w:sz w:val="24"/>
          <w:szCs w:val="24"/>
          <w:u w:color="00457D"/>
        </w:rPr>
      </w:pPr>
      <w:r w:rsidRPr="00871FE1">
        <w:rPr>
          <w:b/>
          <w:bCs/>
          <w:color w:val="00457D"/>
          <w:sz w:val="24"/>
          <w:szCs w:val="24"/>
          <w:u w:color="00457D"/>
        </w:rPr>
        <w:t>Nuovo Sistema di Garanzia: punteggi totali anno 2021</w:t>
      </w:r>
      <w:r>
        <w:rPr>
          <w:rFonts w:ascii="Cambria" w:hAnsi="Cambria"/>
          <w:noProof/>
          <w:lang w:eastAsia="it-IT"/>
        </w:rPr>
        <w:drawing>
          <wp:inline distT="0" distB="0" distL="0" distR="0" wp14:anchorId="0D52D5DD" wp14:editId="3DE3377B">
            <wp:extent cx="5040000" cy="3017992"/>
            <wp:effectExtent l="19050" t="19050" r="27305" b="11430"/>
            <wp:docPr id="49" name="Immagine 49" descr="03 Adempiment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 Adempimenti 20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0000" cy="3017992"/>
                    </a:xfrm>
                    <a:prstGeom prst="rect">
                      <a:avLst/>
                    </a:prstGeom>
                    <a:noFill/>
                    <a:ln>
                      <a:solidFill>
                        <a:srgbClr val="D9D9D9"/>
                      </a:solidFill>
                    </a:ln>
                  </pic:spPr>
                </pic:pic>
              </a:graphicData>
            </a:graphic>
          </wp:inline>
        </w:drawing>
      </w:r>
    </w:p>
    <w:p w14:paraId="70435503" w14:textId="0B65028D" w:rsidR="0001114E" w:rsidRDefault="0001114E" w:rsidP="0001114E">
      <w:pPr>
        <w:spacing w:after="0"/>
        <w:jc w:val="center"/>
        <w:rPr>
          <w:rFonts w:eastAsia="Calibri" w:cstheme="minorHAnsi"/>
        </w:rPr>
      </w:pPr>
    </w:p>
    <w:p w14:paraId="3D1F846F" w14:textId="7D286C6A" w:rsidR="00871FE1" w:rsidRDefault="00871FE1" w:rsidP="0001114E">
      <w:pPr>
        <w:spacing w:after="0"/>
        <w:jc w:val="center"/>
        <w:rPr>
          <w:rFonts w:eastAsia="Calibri" w:cstheme="minorHAnsi"/>
        </w:rPr>
      </w:pPr>
    </w:p>
    <w:p w14:paraId="3B03DF1B" w14:textId="02F22940" w:rsidR="00871FE1" w:rsidRDefault="00871FE1" w:rsidP="00871FE1">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8</w:t>
      </w:r>
    </w:p>
    <w:p w14:paraId="254E9249" w14:textId="53E28661" w:rsidR="00871FE1" w:rsidRDefault="00871FE1" w:rsidP="0001114E">
      <w:pPr>
        <w:spacing w:after="0"/>
        <w:jc w:val="center"/>
        <w:rPr>
          <w:b/>
          <w:bCs/>
          <w:color w:val="00457D"/>
          <w:sz w:val="24"/>
          <w:szCs w:val="24"/>
          <w:u w:color="00457D"/>
        </w:rPr>
      </w:pPr>
      <w:r w:rsidRPr="00871FE1">
        <w:rPr>
          <w:b/>
          <w:bCs/>
          <w:color w:val="00457D"/>
          <w:sz w:val="24"/>
          <w:szCs w:val="24"/>
          <w:u w:color="00457D"/>
        </w:rPr>
        <w:t xml:space="preserve">Medici </w:t>
      </w:r>
      <w:r w:rsidR="00B81FBF">
        <w:rPr>
          <w:b/>
          <w:bCs/>
          <w:color w:val="00457D"/>
          <w:sz w:val="24"/>
          <w:szCs w:val="24"/>
          <w:u w:color="00457D"/>
        </w:rPr>
        <w:t xml:space="preserve">dipendenti </w:t>
      </w:r>
      <w:r w:rsidRPr="00871FE1">
        <w:rPr>
          <w:b/>
          <w:bCs/>
          <w:color w:val="00457D"/>
          <w:sz w:val="24"/>
          <w:szCs w:val="24"/>
          <w:u w:color="00457D"/>
        </w:rPr>
        <w:t>per 1.000 abitanti (dati MdS, anno 2021)</w:t>
      </w:r>
      <w:r>
        <w:rPr>
          <w:rFonts w:ascii="Cambria" w:hAnsi="Cambria"/>
          <w:b/>
          <w:noProof/>
          <w:color w:val="00457D"/>
          <w:sz w:val="18"/>
          <w:lang w:eastAsia="it-IT"/>
        </w:rPr>
        <w:drawing>
          <wp:inline distT="0" distB="0" distL="0" distR="0" wp14:anchorId="563695B2" wp14:editId="0719C165">
            <wp:extent cx="5040000" cy="4086918"/>
            <wp:effectExtent l="0" t="0" r="8255" b="889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000" cy="4086918"/>
                    </a:xfrm>
                    <a:prstGeom prst="rect">
                      <a:avLst/>
                    </a:prstGeom>
                    <a:noFill/>
                  </pic:spPr>
                </pic:pic>
              </a:graphicData>
            </a:graphic>
          </wp:inline>
        </w:drawing>
      </w:r>
    </w:p>
    <w:p w14:paraId="50168884" w14:textId="77777777" w:rsidR="00871FE1" w:rsidRDefault="00871FE1">
      <w:pPr>
        <w:rPr>
          <w:b/>
          <w:bCs/>
          <w:color w:val="00457D"/>
          <w:sz w:val="24"/>
          <w:szCs w:val="24"/>
          <w:u w:color="00457D"/>
        </w:rPr>
      </w:pPr>
      <w:r>
        <w:rPr>
          <w:b/>
          <w:bCs/>
          <w:color w:val="00457D"/>
          <w:sz w:val="24"/>
          <w:szCs w:val="24"/>
          <w:u w:color="00457D"/>
        </w:rPr>
        <w:br w:type="page"/>
      </w:r>
    </w:p>
    <w:p w14:paraId="01205330" w14:textId="77777777" w:rsidR="00871FE1" w:rsidRDefault="00871FE1" w:rsidP="0001114E">
      <w:pPr>
        <w:spacing w:after="0"/>
        <w:jc w:val="center"/>
        <w:rPr>
          <w:rFonts w:eastAsia="Calibri" w:cstheme="minorHAnsi"/>
        </w:rPr>
      </w:pPr>
    </w:p>
    <w:p w14:paraId="1E0FDE76" w14:textId="7CAA5478" w:rsidR="00871FE1" w:rsidRDefault="00871FE1" w:rsidP="00871FE1">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9</w:t>
      </w:r>
    </w:p>
    <w:p w14:paraId="0253797B" w14:textId="039ECE3B" w:rsidR="00871FE1" w:rsidRDefault="00871FE1" w:rsidP="0001114E">
      <w:pPr>
        <w:spacing w:after="0"/>
        <w:jc w:val="center"/>
        <w:rPr>
          <w:b/>
          <w:bCs/>
          <w:color w:val="00457D"/>
          <w:sz w:val="24"/>
          <w:szCs w:val="24"/>
          <w:u w:color="00457D"/>
        </w:rPr>
      </w:pPr>
      <w:r w:rsidRPr="00871FE1">
        <w:rPr>
          <w:b/>
          <w:bCs/>
          <w:color w:val="00457D"/>
          <w:sz w:val="24"/>
          <w:szCs w:val="24"/>
          <w:u w:color="00457D"/>
        </w:rPr>
        <w:t xml:space="preserve">Infermieri </w:t>
      </w:r>
      <w:r w:rsidR="00B81FBF">
        <w:rPr>
          <w:b/>
          <w:bCs/>
          <w:color w:val="00457D"/>
          <w:sz w:val="24"/>
          <w:szCs w:val="24"/>
          <w:u w:color="00457D"/>
        </w:rPr>
        <w:t xml:space="preserve">dipendenti </w:t>
      </w:r>
      <w:r w:rsidRPr="00871FE1">
        <w:rPr>
          <w:b/>
          <w:bCs/>
          <w:color w:val="00457D"/>
          <w:sz w:val="24"/>
          <w:szCs w:val="24"/>
          <w:u w:color="00457D"/>
        </w:rPr>
        <w:t>per 1.000 abitanti (dati MdS, anno 2021)</w:t>
      </w:r>
      <w:r>
        <w:rPr>
          <w:rFonts w:ascii="Cambria" w:hAnsi="Cambria"/>
          <w:noProof/>
          <w:lang w:eastAsia="it-IT"/>
        </w:rPr>
        <w:drawing>
          <wp:inline distT="0" distB="0" distL="0" distR="0" wp14:anchorId="68B12E84" wp14:editId="47BB9776">
            <wp:extent cx="4497257" cy="3771265"/>
            <wp:effectExtent l="0" t="0" r="0" b="635"/>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2617" cy="3800917"/>
                    </a:xfrm>
                    <a:prstGeom prst="rect">
                      <a:avLst/>
                    </a:prstGeom>
                    <a:noFill/>
                  </pic:spPr>
                </pic:pic>
              </a:graphicData>
            </a:graphic>
          </wp:inline>
        </w:drawing>
      </w:r>
    </w:p>
    <w:p w14:paraId="4945E9CE" w14:textId="1763BB44" w:rsidR="00871FE1" w:rsidRDefault="00871FE1" w:rsidP="0001114E">
      <w:pPr>
        <w:spacing w:after="0"/>
        <w:jc w:val="center"/>
        <w:rPr>
          <w:b/>
          <w:bCs/>
          <w:color w:val="00457D"/>
          <w:sz w:val="24"/>
          <w:szCs w:val="24"/>
          <w:u w:color="00457D"/>
        </w:rPr>
      </w:pPr>
    </w:p>
    <w:p w14:paraId="20C1E872" w14:textId="61F83B68" w:rsidR="00871FE1" w:rsidRDefault="00871FE1" w:rsidP="00871FE1">
      <w:pPr>
        <w:spacing w:after="0" w:line="360" w:lineRule="auto"/>
        <w:jc w:val="center"/>
        <w:rPr>
          <w:b/>
          <w:bCs/>
          <w:color w:val="00457D"/>
          <w:sz w:val="24"/>
          <w:szCs w:val="24"/>
          <w:u w:color="00457D"/>
        </w:rPr>
      </w:pPr>
      <w:r w:rsidRPr="00D44AA7">
        <w:rPr>
          <w:b/>
          <w:bCs/>
          <w:color w:val="00457D"/>
          <w:sz w:val="24"/>
          <w:szCs w:val="24"/>
          <w:u w:color="00457D"/>
        </w:rPr>
        <w:t xml:space="preserve">Figura </w:t>
      </w:r>
      <w:r>
        <w:rPr>
          <w:b/>
          <w:bCs/>
          <w:color w:val="00457D"/>
          <w:sz w:val="24"/>
          <w:szCs w:val="24"/>
          <w:u w:color="00457D"/>
        </w:rPr>
        <w:t>10</w:t>
      </w:r>
    </w:p>
    <w:p w14:paraId="7A727868" w14:textId="2214C822" w:rsidR="00871FE1" w:rsidRDefault="00871FE1" w:rsidP="0001114E">
      <w:pPr>
        <w:spacing w:after="0"/>
        <w:jc w:val="center"/>
        <w:rPr>
          <w:rFonts w:eastAsia="Calibri" w:cstheme="minorHAnsi"/>
        </w:rPr>
      </w:pPr>
      <w:r w:rsidRPr="00871FE1">
        <w:rPr>
          <w:b/>
          <w:bCs/>
          <w:color w:val="00457D"/>
          <w:sz w:val="24"/>
          <w:szCs w:val="24"/>
          <w:u w:color="00457D"/>
        </w:rPr>
        <w:t>Rapporto infermieri/medici (dati MdS, anno 2021)</w:t>
      </w:r>
      <w:r>
        <w:rPr>
          <w:rFonts w:ascii="Cambria" w:hAnsi="Cambria"/>
          <w:noProof/>
          <w:color w:val="FF0000"/>
          <w:lang w:eastAsia="it-IT"/>
        </w:rPr>
        <w:drawing>
          <wp:inline distT="0" distB="0" distL="0" distR="0" wp14:anchorId="1C288705" wp14:editId="30792D5C">
            <wp:extent cx="4458457" cy="3870251"/>
            <wp:effectExtent l="0" t="0" r="0" b="0"/>
            <wp:docPr id="1028" name="Immagin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83598" cy="3892075"/>
                    </a:xfrm>
                    <a:prstGeom prst="rect">
                      <a:avLst/>
                    </a:prstGeom>
                    <a:noFill/>
                  </pic:spPr>
                </pic:pic>
              </a:graphicData>
            </a:graphic>
          </wp:inline>
        </w:drawing>
      </w:r>
    </w:p>
    <w:sectPr w:rsidR="00871FE1" w:rsidSect="00E1365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B316D" w14:textId="77777777" w:rsidR="00A926CE" w:rsidRDefault="00A926CE" w:rsidP="00ED0CFD">
      <w:pPr>
        <w:spacing w:after="0" w:line="240" w:lineRule="auto"/>
      </w:pPr>
      <w:r>
        <w:separator/>
      </w:r>
    </w:p>
  </w:endnote>
  <w:endnote w:type="continuationSeparator" w:id="0">
    <w:p w14:paraId="60314CC0" w14:textId="77777777" w:rsidR="00A926CE" w:rsidRDefault="00A926CE" w:rsidP="00ED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E3AD6" w14:textId="77777777" w:rsidR="00A926CE" w:rsidRDefault="00A926CE" w:rsidP="00ED0CFD">
      <w:pPr>
        <w:spacing w:after="0" w:line="240" w:lineRule="auto"/>
      </w:pPr>
      <w:r>
        <w:separator/>
      </w:r>
    </w:p>
  </w:footnote>
  <w:footnote w:type="continuationSeparator" w:id="0">
    <w:p w14:paraId="0E6DD2AF" w14:textId="77777777" w:rsidR="00A926CE" w:rsidRDefault="00A926CE" w:rsidP="00ED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694"/>
    <w:multiLevelType w:val="hybridMultilevel"/>
    <w:tmpl w:val="78F034B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DA3F0B"/>
    <w:multiLevelType w:val="multilevel"/>
    <w:tmpl w:val="A4642696"/>
    <w:lvl w:ilvl="0">
      <w:start w:val="1"/>
      <w:numFmt w:val="bullet"/>
      <w:lvlText w:val=""/>
      <w:lvlJc w:val="left"/>
      <w:pPr>
        <w:tabs>
          <w:tab w:val="num" w:pos="360"/>
        </w:tabs>
        <w:ind w:left="360" w:hanging="360"/>
      </w:pPr>
      <w:rPr>
        <w:rFonts w:ascii="Symbol" w:hAnsi="Symbol" w:hint="default"/>
        <w:color w:val="00457D"/>
        <w:sz w:val="20"/>
      </w:rPr>
    </w:lvl>
    <w:lvl w:ilvl="1">
      <w:numFmt w:val="bullet"/>
      <w:lvlText w:val="•"/>
      <w:lvlJc w:val="left"/>
      <w:pPr>
        <w:ind w:left="1080" w:hanging="360"/>
      </w:pPr>
      <w:rPr>
        <w:rFonts w:ascii="Cambria" w:eastAsiaTheme="minorEastAsia" w:hAnsi="Cambria"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303867"/>
    <w:multiLevelType w:val="hybridMultilevel"/>
    <w:tmpl w:val="017AE8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EC64119"/>
    <w:multiLevelType w:val="hybridMultilevel"/>
    <w:tmpl w:val="64D6E2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3B0603F"/>
    <w:multiLevelType w:val="hybridMultilevel"/>
    <w:tmpl w:val="518CF2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3EC557F"/>
    <w:multiLevelType w:val="hybridMultilevel"/>
    <w:tmpl w:val="426C76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6E31A9A"/>
    <w:multiLevelType w:val="hybridMultilevel"/>
    <w:tmpl w:val="7AC435C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BD829D7"/>
    <w:multiLevelType w:val="hybridMultilevel"/>
    <w:tmpl w:val="8C3C60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01B37F2"/>
    <w:multiLevelType w:val="hybridMultilevel"/>
    <w:tmpl w:val="ED0C6784"/>
    <w:lvl w:ilvl="0" w:tplc="B0AA17C6">
      <w:start w:val="1"/>
      <w:numFmt w:val="bullet"/>
      <w:lvlText w:val=""/>
      <w:lvlJc w:val="left"/>
      <w:pPr>
        <w:ind w:left="360" w:hanging="360"/>
      </w:pPr>
      <w:rPr>
        <w:rFonts w:ascii="Symbol" w:hAnsi="Symbol" w:hint="default"/>
        <w:color w:val="00457D"/>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0492829"/>
    <w:multiLevelType w:val="hybridMultilevel"/>
    <w:tmpl w:val="A9CA43B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2D84521"/>
    <w:multiLevelType w:val="hybridMultilevel"/>
    <w:tmpl w:val="ACC6C2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E46490B"/>
    <w:multiLevelType w:val="hybridMultilevel"/>
    <w:tmpl w:val="889C551A"/>
    <w:lvl w:ilvl="0" w:tplc="307C4A34">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EE34CBC"/>
    <w:multiLevelType w:val="hybridMultilevel"/>
    <w:tmpl w:val="F7168F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8CD1426"/>
    <w:multiLevelType w:val="hybridMultilevel"/>
    <w:tmpl w:val="4CA0E6EA"/>
    <w:lvl w:ilvl="0" w:tplc="5166346A">
      <w:start w:val="1"/>
      <w:numFmt w:val="bullet"/>
      <w:lvlText w:val="•"/>
      <w:lvlJc w:val="left"/>
      <w:pPr>
        <w:tabs>
          <w:tab w:val="num" w:pos="720"/>
        </w:tabs>
        <w:ind w:left="720" w:hanging="360"/>
      </w:pPr>
      <w:rPr>
        <w:rFonts w:ascii="Times New Roman" w:hAnsi="Times New Roman" w:cs="Times New Roman" w:hint="default"/>
      </w:rPr>
    </w:lvl>
    <w:lvl w:ilvl="1" w:tplc="199E43A6">
      <w:start w:val="1"/>
      <w:numFmt w:val="bullet"/>
      <w:lvlText w:val="•"/>
      <w:lvlJc w:val="left"/>
      <w:pPr>
        <w:tabs>
          <w:tab w:val="num" w:pos="1440"/>
        </w:tabs>
        <w:ind w:left="1440" w:hanging="360"/>
      </w:pPr>
      <w:rPr>
        <w:rFonts w:ascii="Times New Roman" w:hAnsi="Times New Roman" w:cs="Times New Roman" w:hint="default"/>
      </w:rPr>
    </w:lvl>
    <w:lvl w:ilvl="2" w:tplc="A1502A9E">
      <w:start w:val="1"/>
      <w:numFmt w:val="bullet"/>
      <w:lvlText w:val="•"/>
      <w:lvlJc w:val="left"/>
      <w:pPr>
        <w:tabs>
          <w:tab w:val="num" w:pos="2160"/>
        </w:tabs>
        <w:ind w:left="2160" w:hanging="360"/>
      </w:pPr>
      <w:rPr>
        <w:rFonts w:ascii="Times New Roman" w:hAnsi="Times New Roman" w:cs="Times New Roman" w:hint="default"/>
      </w:rPr>
    </w:lvl>
    <w:lvl w:ilvl="3" w:tplc="4994264A">
      <w:start w:val="1"/>
      <w:numFmt w:val="bullet"/>
      <w:lvlText w:val="•"/>
      <w:lvlJc w:val="left"/>
      <w:pPr>
        <w:tabs>
          <w:tab w:val="num" w:pos="2880"/>
        </w:tabs>
        <w:ind w:left="2880" w:hanging="360"/>
      </w:pPr>
      <w:rPr>
        <w:rFonts w:ascii="Times New Roman" w:hAnsi="Times New Roman" w:cs="Times New Roman" w:hint="default"/>
      </w:rPr>
    </w:lvl>
    <w:lvl w:ilvl="4" w:tplc="3E40A376">
      <w:start w:val="1"/>
      <w:numFmt w:val="bullet"/>
      <w:lvlText w:val="•"/>
      <w:lvlJc w:val="left"/>
      <w:pPr>
        <w:tabs>
          <w:tab w:val="num" w:pos="3600"/>
        </w:tabs>
        <w:ind w:left="3600" w:hanging="360"/>
      </w:pPr>
      <w:rPr>
        <w:rFonts w:ascii="Times New Roman" w:hAnsi="Times New Roman" w:cs="Times New Roman" w:hint="default"/>
      </w:rPr>
    </w:lvl>
    <w:lvl w:ilvl="5" w:tplc="7F26466A">
      <w:start w:val="1"/>
      <w:numFmt w:val="bullet"/>
      <w:lvlText w:val="•"/>
      <w:lvlJc w:val="left"/>
      <w:pPr>
        <w:tabs>
          <w:tab w:val="num" w:pos="4320"/>
        </w:tabs>
        <w:ind w:left="4320" w:hanging="360"/>
      </w:pPr>
      <w:rPr>
        <w:rFonts w:ascii="Times New Roman" w:hAnsi="Times New Roman" w:cs="Times New Roman" w:hint="default"/>
      </w:rPr>
    </w:lvl>
    <w:lvl w:ilvl="6" w:tplc="DDF46EFE">
      <w:start w:val="1"/>
      <w:numFmt w:val="bullet"/>
      <w:lvlText w:val="•"/>
      <w:lvlJc w:val="left"/>
      <w:pPr>
        <w:tabs>
          <w:tab w:val="num" w:pos="5040"/>
        </w:tabs>
        <w:ind w:left="5040" w:hanging="360"/>
      </w:pPr>
      <w:rPr>
        <w:rFonts w:ascii="Times New Roman" w:hAnsi="Times New Roman" w:cs="Times New Roman" w:hint="default"/>
      </w:rPr>
    </w:lvl>
    <w:lvl w:ilvl="7" w:tplc="8698ED2E">
      <w:start w:val="1"/>
      <w:numFmt w:val="bullet"/>
      <w:lvlText w:val="•"/>
      <w:lvlJc w:val="left"/>
      <w:pPr>
        <w:tabs>
          <w:tab w:val="num" w:pos="5760"/>
        </w:tabs>
        <w:ind w:left="5760" w:hanging="360"/>
      </w:pPr>
      <w:rPr>
        <w:rFonts w:ascii="Times New Roman" w:hAnsi="Times New Roman" w:cs="Times New Roman" w:hint="default"/>
      </w:rPr>
    </w:lvl>
    <w:lvl w:ilvl="8" w:tplc="C78AA426">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64247"/>
    <w:multiLevelType w:val="hybridMultilevel"/>
    <w:tmpl w:val="A0A2E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5229DE"/>
    <w:multiLevelType w:val="hybridMultilevel"/>
    <w:tmpl w:val="E9003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C659F4"/>
    <w:multiLevelType w:val="hybridMultilevel"/>
    <w:tmpl w:val="3A8A0F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D4F6FED"/>
    <w:multiLevelType w:val="hybridMultilevel"/>
    <w:tmpl w:val="3CEEFA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1303CF9"/>
    <w:multiLevelType w:val="hybridMultilevel"/>
    <w:tmpl w:val="76B8F694"/>
    <w:lvl w:ilvl="0" w:tplc="49F6B3C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498684C"/>
    <w:multiLevelType w:val="hybridMultilevel"/>
    <w:tmpl w:val="E14CD5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4D05463"/>
    <w:multiLevelType w:val="hybridMultilevel"/>
    <w:tmpl w:val="60E00E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D132C9"/>
    <w:multiLevelType w:val="hybridMultilevel"/>
    <w:tmpl w:val="31CE2A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0600FA"/>
    <w:multiLevelType w:val="hybridMultilevel"/>
    <w:tmpl w:val="8DEC3E5A"/>
    <w:lvl w:ilvl="0" w:tplc="4EF8FB64">
      <w:start w:val="1"/>
      <w:numFmt w:val="bullet"/>
      <w:lvlText w:val=""/>
      <w:lvlJc w:val="left"/>
      <w:pPr>
        <w:ind w:left="360" w:hanging="360"/>
      </w:pPr>
      <w:rPr>
        <w:rFonts w:ascii="Symbol" w:hAnsi="Symbol" w:hint="default"/>
        <w:color w:val="4F81BD" w:themeColor="accent1"/>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4102E"/>
    <w:multiLevelType w:val="hybridMultilevel"/>
    <w:tmpl w:val="BA2E0D1E"/>
    <w:lvl w:ilvl="0" w:tplc="96549FDE">
      <w:start w:val="1"/>
      <w:numFmt w:val="bullet"/>
      <w:lvlText w:val=""/>
      <w:lvlJc w:val="left"/>
      <w:pPr>
        <w:ind w:left="360" w:hanging="360"/>
      </w:pPr>
      <w:rPr>
        <w:rFonts w:ascii="Symbol" w:hAnsi="Symbol" w:hint="default"/>
        <w:color w:val="00457D"/>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5591BA8"/>
    <w:multiLevelType w:val="hybridMultilevel"/>
    <w:tmpl w:val="BFA0D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94523CF"/>
    <w:multiLevelType w:val="hybridMultilevel"/>
    <w:tmpl w:val="F2787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36"/>
  </w:num>
  <w:num w:numId="2">
    <w:abstractNumId w:val="31"/>
  </w:num>
  <w:num w:numId="3">
    <w:abstractNumId w:val="17"/>
  </w:num>
  <w:num w:numId="4">
    <w:abstractNumId w:val="32"/>
  </w:num>
  <w:num w:numId="5">
    <w:abstractNumId w:val="19"/>
  </w:num>
  <w:num w:numId="6">
    <w:abstractNumId w:val="16"/>
  </w:num>
  <w:num w:numId="7">
    <w:abstractNumId w:val="26"/>
  </w:num>
  <w:num w:numId="8">
    <w:abstractNumId w:val="24"/>
  </w:num>
  <w:num w:numId="9">
    <w:abstractNumId w:val="3"/>
  </w:num>
  <w:num w:numId="10">
    <w:abstractNumId w:val="4"/>
  </w:num>
  <w:num w:numId="11">
    <w:abstractNumId w:val="9"/>
  </w:num>
  <w:num w:numId="12">
    <w:abstractNumId w:val="10"/>
  </w:num>
  <w:num w:numId="13">
    <w:abstractNumId w:val="21"/>
  </w:num>
  <w:num w:numId="14">
    <w:abstractNumId w:val="6"/>
  </w:num>
  <w:num w:numId="15">
    <w:abstractNumId w:val="20"/>
  </w:num>
  <w:num w:numId="16">
    <w:abstractNumId w:val="34"/>
  </w:num>
  <w:num w:numId="17">
    <w:abstractNumId w:val="18"/>
  </w:num>
  <w:num w:numId="18">
    <w:abstractNumId w:val="14"/>
  </w:num>
  <w:num w:numId="19">
    <w:abstractNumId w:val="30"/>
  </w:num>
  <w:num w:numId="20">
    <w:abstractNumId w:val="25"/>
  </w:num>
  <w:num w:numId="21">
    <w:abstractNumId w:val="5"/>
  </w:num>
  <w:num w:numId="22">
    <w:abstractNumId w:val="22"/>
  </w:num>
  <w:num w:numId="23">
    <w:abstractNumId w:val="15"/>
  </w:num>
  <w:num w:numId="24">
    <w:abstractNumId w:val="8"/>
  </w:num>
  <w:num w:numId="25">
    <w:abstractNumId w:val="2"/>
  </w:num>
  <w:num w:numId="26">
    <w:abstractNumId w:val="11"/>
  </w:num>
  <w:num w:numId="27">
    <w:abstractNumId w:val="33"/>
  </w:num>
  <w:num w:numId="28">
    <w:abstractNumId w:val="23"/>
  </w:num>
  <w:num w:numId="29">
    <w:abstractNumId w:val="0"/>
  </w:num>
  <w:num w:numId="30">
    <w:abstractNumId w:val="7"/>
  </w:num>
  <w:num w:numId="31">
    <w:abstractNumId w:val="35"/>
  </w:num>
  <w:num w:numId="32">
    <w:abstractNumId w:val="13"/>
  </w:num>
  <w:num w:numId="33">
    <w:abstractNumId w:val="1"/>
  </w:num>
  <w:num w:numId="34">
    <w:abstractNumId w:val="29"/>
  </w:num>
  <w:num w:numId="35">
    <w:abstractNumId w:val="28"/>
  </w:num>
  <w:num w:numId="36">
    <w:abstractNumId w:val="1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91"/>
    <w:rsid w:val="000007FC"/>
    <w:rsid w:val="0000149C"/>
    <w:rsid w:val="000017A8"/>
    <w:rsid w:val="00002AAC"/>
    <w:rsid w:val="00002C1B"/>
    <w:rsid w:val="00003744"/>
    <w:rsid w:val="00003F78"/>
    <w:rsid w:val="00004B0A"/>
    <w:rsid w:val="00005B25"/>
    <w:rsid w:val="000064FE"/>
    <w:rsid w:val="00006555"/>
    <w:rsid w:val="0000695A"/>
    <w:rsid w:val="00010498"/>
    <w:rsid w:val="0001114E"/>
    <w:rsid w:val="000123C4"/>
    <w:rsid w:val="0001384A"/>
    <w:rsid w:val="00013DFA"/>
    <w:rsid w:val="0001439D"/>
    <w:rsid w:val="00015D8E"/>
    <w:rsid w:val="00016F94"/>
    <w:rsid w:val="00017968"/>
    <w:rsid w:val="00017FB4"/>
    <w:rsid w:val="0002141B"/>
    <w:rsid w:val="00021D7F"/>
    <w:rsid w:val="00023A72"/>
    <w:rsid w:val="00023D8A"/>
    <w:rsid w:val="000252D2"/>
    <w:rsid w:val="00032FB7"/>
    <w:rsid w:val="00034188"/>
    <w:rsid w:val="000346D7"/>
    <w:rsid w:val="00035404"/>
    <w:rsid w:val="00035C47"/>
    <w:rsid w:val="00036089"/>
    <w:rsid w:val="0004091F"/>
    <w:rsid w:val="0004410A"/>
    <w:rsid w:val="00051F7A"/>
    <w:rsid w:val="0005402C"/>
    <w:rsid w:val="00054250"/>
    <w:rsid w:val="00055180"/>
    <w:rsid w:val="00055AE9"/>
    <w:rsid w:val="00055D27"/>
    <w:rsid w:val="000602AA"/>
    <w:rsid w:val="000615B8"/>
    <w:rsid w:val="0006440E"/>
    <w:rsid w:val="000657A8"/>
    <w:rsid w:val="000662E3"/>
    <w:rsid w:val="00067ACA"/>
    <w:rsid w:val="00067B8F"/>
    <w:rsid w:val="000707B3"/>
    <w:rsid w:val="00070C28"/>
    <w:rsid w:val="000715A9"/>
    <w:rsid w:val="00071F0A"/>
    <w:rsid w:val="00073870"/>
    <w:rsid w:val="00074788"/>
    <w:rsid w:val="000751C3"/>
    <w:rsid w:val="00075BA4"/>
    <w:rsid w:val="00076A48"/>
    <w:rsid w:val="000771A4"/>
    <w:rsid w:val="000815B7"/>
    <w:rsid w:val="00085590"/>
    <w:rsid w:val="000863FA"/>
    <w:rsid w:val="00090A39"/>
    <w:rsid w:val="00090B7E"/>
    <w:rsid w:val="00090CF8"/>
    <w:rsid w:val="000927C7"/>
    <w:rsid w:val="000935F1"/>
    <w:rsid w:val="00093756"/>
    <w:rsid w:val="000941D8"/>
    <w:rsid w:val="00095589"/>
    <w:rsid w:val="000A0FC3"/>
    <w:rsid w:val="000A1367"/>
    <w:rsid w:val="000A145D"/>
    <w:rsid w:val="000A15DB"/>
    <w:rsid w:val="000A2084"/>
    <w:rsid w:val="000A226B"/>
    <w:rsid w:val="000A58EB"/>
    <w:rsid w:val="000A62A9"/>
    <w:rsid w:val="000A7B66"/>
    <w:rsid w:val="000A7EA1"/>
    <w:rsid w:val="000B07B0"/>
    <w:rsid w:val="000B10CE"/>
    <w:rsid w:val="000B185F"/>
    <w:rsid w:val="000B1C52"/>
    <w:rsid w:val="000B2168"/>
    <w:rsid w:val="000B50CD"/>
    <w:rsid w:val="000B7985"/>
    <w:rsid w:val="000C098C"/>
    <w:rsid w:val="000C0B04"/>
    <w:rsid w:val="000C344B"/>
    <w:rsid w:val="000C544C"/>
    <w:rsid w:val="000C6130"/>
    <w:rsid w:val="000D02E4"/>
    <w:rsid w:val="000D1377"/>
    <w:rsid w:val="000D17FB"/>
    <w:rsid w:val="000D25AC"/>
    <w:rsid w:val="000D3C58"/>
    <w:rsid w:val="000D44D4"/>
    <w:rsid w:val="000D5771"/>
    <w:rsid w:val="000D5893"/>
    <w:rsid w:val="000D7252"/>
    <w:rsid w:val="000D7A72"/>
    <w:rsid w:val="000E27C9"/>
    <w:rsid w:val="000E2E4F"/>
    <w:rsid w:val="000E3E10"/>
    <w:rsid w:val="000E5ABF"/>
    <w:rsid w:val="000E6B01"/>
    <w:rsid w:val="000E7CC2"/>
    <w:rsid w:val="000F0BBD"/>
    <w:rsid w:val="000F10F8"/>
    <w:rsid w:val="000F1DE1"/>
    <w:rsid w:val="000F2AE1"/>
    <w:rsid w:val="000F39EF"/>
    <w:rsid w:val="000F5C0F"/>
    <w:rsid w:val="0010059E"/>
    <w:rsid w:val="001020FC"/>
    <w:rsid w:val="001035E4"/>
    <w:rsid w:val="001043DB"/>
    <w:rsid w:val="00104A66"/>
    <w:rsid w:val="001056AE"/>
    <w:rsid w:val="0010685E"/>
    <w:rsid w:val="00107096"/>
    <w:rsid w:val="00107293"/>
    <w:rsid w:val="00107984"/>
    <w:rsid w:val="001106B1"/>
    <w:rsid w:val="0011205F"/>
    <w:rsid w:val="00112B52"/>
    <w:rsid w:val="001139A6"/>
    <w:rsid w:val="00113D4A"/>
    <w:rsid w:val="00113F3C"/>
    <w:rsid w:val="00114F21"/>
    <w:rsid w:val="001167D9"/>
    <w:rsid w:val="0011796A"/>
    <w:rsid w:val="00117F68"/>
    <w:rsid w:val="00122425"/>
    <w:rsid w:val="00125838"/>
    <w:rsid w:val="00125C6A"/>
    <w:rsid w:val="001262A5"/>
    <w:rsid w:val="00126E63"/>
    <w:rsid w:val="00127A78"/>
    <w:rsid w:val="001317CF"/>
    <w:rsid w:val="00132082"/>
    <w:rsid w:val="00134C8C"/>
    <w:rsid w:val="00136F1C"/>
    <w:rsid w:val="001374E5"/>
    <w:rsid w:val="001412DC"/>
    <w:rsid w:val="0014334C"/>
    <w:rsid w:val="00143689"/>
    <w:rsid w:val="00144F94"/>
    <w:rsid w:val="001453D6"/>
    <w:rsid w:val="001458FE"/>
    <w:rsid w:val="001471AF"/>
    <w:rsid w:val="001504F4"/>
    <w:rsid w:val="00150EF3"/>
    <w:rsid w:val="00151D12"/>
    <w:rsid w:val="0015229D"/>
    <w:rsid w:val="001560D3"/>
    <w:rsid w:val="00156B6C"/>
    <w:rsid w:val="00162FBC"/>
    <w:rsid w:val="0016375C"/>
    <w:rsid w:val="00163D48"/>
    <w:rsid w:val="00163DB0"/>
    <w:rsid w:val="001644BA"/>
    <w:rsid w:val="001654A5"/>
    <w:rsid w:val="00170760"/>
    <w:rsid w:val="00170B46"/>
    <w:rsid w:val="00171767"/>
    <w:rsid w:val="00173764"/>
    <w:rsid w:val="0017405D"/>
    <w:rsid w:val="001748BA"/>
    <w:rsid w:val="00181DF1"/>
    <w:rsid w:val="00185966"/>
    <w:rsid w:val="00192B35"/>
    <w:rsid w:val="00192DAD"/>
    <w:rsid w:val="00192F75"/>
    <w:rsid w:val="00193C55"/>
    <w:rsid w:val="00193F19"/>
    <w:rsid w:val="00194C03"/>
    <w:rsid w:val="001A2449"/>
    <w:rsid w:val="001A3E0D"/>
    <w:rsid w:val="001A3E96"/>
    <w:rsid w:val="001A6181"/>
    <w:rsid w:val="001A7017"/>
    <w:rsid w:val="001A73CD"/>
    <w:rsid w:val="001A76F9"/>
    <w:rsid w:val="001B46A1"/>
    <w:rsid w:val="001B59E3"/>
    <w:rsid w:val="001C0EFC"/>
    <w:rsid w:val="001C51E2"/>
    <w:rsid w:val="001C5A39"/>
    <w:rsid w:val="001C7324"/>
    <w:rsid w:val="001D0114"/>
    <w:rsid w:val="001D0E41"/>
    <w:rsid w:val="001D153D"/>
    <w:rsid w:val="001D19F1"/>
    <w:rsid w:val="001D240E"/>
    <w:rsid w:val="001D38B9"/>
    <w:rsid w:val="001D3F96"/>
    <w:rsid w:val="001D4CE8"/>
    <w:rsid w:val="001D7259"/>
    <w:rsid w:val="001E0D38"/>
    <w:rsid w:val="001E42B9"/>
    <w:rsid w:val="001E53AB"/>
    <w:rsid w:val="001E5654"/>
    <w:rsid w:val="001E6902"/>
    <w:rsid w:val="001F1C35"/>
    <w:rsid w:val="001F20B8"/>
    <w:rsid w:val="0020092D"/>
    <w:rsid w:val="002020DB"/>
    <w:rsid w:val="00202A01"/>
    <w:rsid w:val="0020435A"/>
    <w:rsid w:val="00206047"/>
    <w:rsid w:val="0020636A"/>
    <w:rsid w:val="002073BD"/>
    <w:rsid w:val="00207B90"/>
    <w:rsid w:val="00210158"/>
    <w:rsid w:val="00210584"/>
    <w:rsid w:val="0021155E"/>
    <w:rsid w:val="0022389A"/>
    <w:rsid w:val="00223F01"/>
    <w:rsid w:val="00224E88"/>
    <w:rsid w:val="00231196"/>
    <w:rsid w:val="00233A2C"/>
    <w:rsid w:val="00233EF5"/>
    <w:rsid w:val="002349C3"/>
    <w:rsid w:val="00234FBF"/>
    <w:rsid w:val="002357E8"/>
    <w:rsid w:val="00235FC2"/>
    <w:rsid w:val="0023771D"/>
    <w:rsid w:val="00241E9C"/>
    <w:rsid w:val="00242077"/>
    <w:rsid w:val="00243B76"/>
    <w:rsid w:val="00243F05"/>
    <w:rsid w:val="0024623B"/>
    <w:rsid w:val="00247D33"/>
    <w:rsid w:val="0025100A"/>
    <w:rsid w:val="00251386"/>
    <w:rsid w:val="00251A17"/>
    <w:rsid w:val="00251AC2"/>
    <w:rsid w:val="00251D02"/>
    <w:rsid w:val="00252E47"/>
    <w:rsid w:val="002534BD"/>
    <w:rsid w:val="002551A1"/>
    <w:rsid w:val="002576D2"/>
    <w:rsid w:val="00260A01"/>
    <w:rsid w:val="00261479"/>
    <w:rsid w:val="00261EC6"/>
    <w:rsid w:val="00262274"/>
    <w:rsid w:val="00264F8C"/>
    <w:rsid w:val="00265B05"/>
    <w:rsid w:val="00266561"/>
    <w:rsid w:val="00266E0C"/>
    <w:rsid w:val="00266E1A"/>
    <w:rsid w:val="00270DED"/>
    <w:rsid w:val="002723FC"/>
    <w:rsid w:val="0027468B"/>
    <w:rsid w:val="00281907"/>
    <w:rsid w:val="00282655"/>
    <w:rsid w:val="00282DAE"/>
    <w:rsid w:val="00284792"/>
    <w:rsid w:val="00287105"/>
    <w:rsid w:val="00287452"/>
    <w:rsid w:val="00290CC2"/>
    <w:rsid w:val="00291602"/>
    <w:rsid w:val="00293854"/>
    <w:rsid w:val="0029392F"/>
    <w:rsid w:val="00293D0A"/>
    <w:rsid w:val="0029425C"/>
    <w:rsid w:val="00296F33"/>
    <w:rsid w:val="00297583"/>
    <w:rsid w:val="002A2034"/>
    <w:rsid w:val="002A3232"/>
    <w:rsid w:val="002A3622"/>
    <w:rsid w:val="002A41A8"/>
    <w:rsid w:val="002A5A93"/>
    <w:rsid w:val="002B0FB4"/>
    <w:rsid w:val="002B12E6"/>
    <w:rsid w:val="002B1329"/>
    <w:rsid w:val="002B63E5"/>
    <w:rsid w:val="002B7295"/>
    <w:rsid w:val="002B7C26"/>
    <w:rsid w:val="002B7F03"/>
    <w:rsid w:val="002C0B56"/>
    <w:rsid w:val="002C0B93"/>
    <w:rsid w:val="002C0F1B"/>
    <w:rsid w:val="002C11E2"/>
    <w:rsid w:val="002C22CC"/>
    <w:rsid w:val="002C2FB0"/>
    <w:rsid w:val="002C4190"/>
    <w:rsid w:val="002C433C"/>
    <w:rsid w:val="002C4460"/>
    <w:rsid w:val="002C5187"/>
    <w:rsid w:val="002C5517"/>
    <w:rsid w:val="002C6CDA"/>
    <w:rsid w:val="002D0078"/>
    <w:rsid w:val="002D1354"/>
    <w:rsid w:val="002D1A9D"/>
    <w:rsid w:val="002D1CBC"/>
    <w:rsid w:val="002D2C39"/>
    <w:rsid w:val="002D390F"/>
    <w:rsid w:val="002D4CBE"/>
    <w:rsid w:val="002D4D2D"/>
    <w:rsid w:val="002D513D"/>
    <w:rsid w:val="002D61E1"/>
    <w:rsid w:val="002D7409"/>
    <w:rsid w:val="002E2D66"/>
    <w:rsid w:val="002E33A2"/>
    <w:rsid w:val="002E3609"/>
    <w:rsid w:val="002E384A"/>
    <w:rsid w:val="002E5382"/>
    <w:rsid w:val="002E5E3C"/>
    <w:rsid w:val="002F07F4"/>
    <w:rsid w:val="002F2E6A"/>
    <w:rsid w:val="002F323D"/>
    <w:rsid w:val="002F605D"/>
    <w:rsid w:val="00300EF7"/>
    <w:rsid w:val="0030187D"/>
    <w:rsid w:val="00301A08"/>
    <w:rsid w:val="003029E5"/>
    <w:rsid w:val="0030437B"/>
    <w:rsid w:val="00305113"/>
    <w:rsid w:val="00310511"/>
    <w:rsid w:val="00310654"/>
    <w:rsid w:val="00311E5C"/>
    <w:rsid w:val="003121F3"/>
    <w:rsid w:val="00313AD1"/>
    <w:rsid w:val="00315407"/>
    <w:rsid w:val="00315734"/>
    <w:rsid w:val="0031648A"/>
    <w:rsid w:val="0031755E"/>
    <w:rsid w:val="003210E2"/>
    <w:rsid w:val="00321C3D"/>
    <w:rsid w:val="00322567"/>
    <w:rsid w:val="00323798"/>
    <w:rsid w:val="00323A55"/>
    <w:rsid w:val="00325E98"/>
    <w:rsid w:val="003268D1"/>
    <w:rsid w:val="00326ABC"/>
    <w:rsid w:val="00326DCF"/>
    <w:rsid w:val="00327AF0"/>
    <w:rsid w:val="00327D9D"/>
    <w:rsid w:val="00330694"/>
    <w:rsid w:val="00330A9B"/>
    <w:rsid w:val="00331B49"/>
    <w:rsid w:val="00331F29"/>
    <w:rsid w:val="003331B5"/>
    <w:rsid w:val="00333A1D"/>
    <w:rsid w:val="0033460B"/>
    <w:rsid w:val="00334F92"/>
    <w:rsid w:val="0033752D"/>
    <w:rsid w:val="00341267"/>
    <w:rsid w:val="0034210D"/>
    <w:rsid w:val="0034291E"/>
    <w:rsid w:val="003456F8"/>
    <w:rsid w:val="00346324"/>
    <w:rsid w:val="00347675"/>
    <w:rsid w:val="00347BD4"/>
    <w:rsid w:val="00347CD5"/>
    <w:rsid w:val="00350B80"/>
    <w:rsid w:val="00351462"/>
    <w:rsid w:val="00353E36"/>
    <w:rsid w:val="00354809"/>
    <w:rsid w:val="00354ACD"/>
    <w:rsid w:val="003554E0"/>
    <w:rsid w:val="00355DBF"/>
    <w:rsid w:val="003576FF"/>
    <w:rsid w:val="00357F80"/>
    <w:rsid w:val="00361A34"/>
    <w:rsid w:val="0036304D"/>
    <w:rsid w:val="003631B2"/>
    <w:rsid w:val="00363764"/>
    <w:rsid w:val="00363A22"/>
    <w:rsid w:val="00363BEB"/>
    <w:rsid w:val="0036462F"/>
    <w:rsid w:val="00364A2E"/>
    <w:rsid w:val="00367A4B"/>
    <w:rsid w:val="00372887"/>
    <w:rsid w:val="00373EDC"/>
    <w:rsid w:val="00374152"/>
    <w:rsid w:val="00374404"/>
    <w:rsid w:val="00375A29"/>
    <w:rsid w:val="00375C4D"/>
    <w:rsid w:val="00377841"/>
    <w:rsid w:val="00380A73"/>
    <w:rsid w:val="00382F29"/>
    <w:rsid w:val="00384AF1"/>
    <w:rsid w:val="00385A79"/>
    <w:rsid w:val="00386385"/>
    <w:rsid w:val="00387555"/>
    <w:rsid w:val="0039006E"/>
    <w:rsid w:val="00391AD2"/>
    <w:rsid w:val="003930FC"/>
    <w:rsid w:val="00393B9D"/>
    <w:rsid w:val="00394823"/>
    <w:rsid w:val="003955A0"/>
    <w:rsid w:val="003978DA"/>
    <w:rsid w:val="003A13B4"/>
    <w:rsid w:val="003A47A3"/>
    <w:rsid w:val="003A72AE"/>
    <w:rsid w:val="003A7751"/>
    <w:rsid w:val="003B1262"/>
    <w:rsid w:val="003B4A8D"/>
    <w:rsid w:val="003B5D7A"/>
    <w:rsid w:val="003B72C4"/>
    <w:rsid w:val="003C1D40"/>
    <w:rsid w:val="003C276B"/>
    <w:rsid w:val="003C3908"/>
    <w:rsid w:val="003C3A13"/>
    <w:rsid w:val="003C48B6"/>
    <w:rsid w:val="003C7C89"/>
    <w:rsid w:val="003D4318"/>
    <w:rsid w:val="003D4D70"/>
    <w:rsid w:val="003D542E"/>
    <w:rsid w:val="003D6200"/>
    <w:rsid w:val="003D66C8"/>
    <w:rsid w:val="003D6B2B"/>
    <w:rsid w:val="003D79C2"/>
    <w:rsid w:val="003D7D5D"/>
    <w:rsid w:val="003E0375"/>
    <w:rsid w:val="003E2B21"/>
    <w:rsid w:val="003E4422"/>
    <w:rsid w:val="003E4FF7"/>
    <w:rsid w:val="003F1AAC"/>
    <w:rsid w:val="003F35EF"/>
    <w:rsid w:val="003F3B35"/>
    <w:rsid w:val="003F470F"/>
    <w:rsid w:val="003F6562"/>
    <w:rsid w:val="0040121C"/>
    <w:rsid w:val="00401805"/>
    <w:rsid w:val="004032D5"/>
    <w:rsid w:val="004052B2"/>
    <w:rsid w:val="00405C0C"/>
    <w:rsid w:val="00405E87"/>
    <w:rsid w:val="00405FC1"/>
    <w:rsid w:val="00406F3A"/>
    <w:rsid w:val="00410B6F"/>
    <w:rsid w:val="00412253"/>
    <w:rsid w:val="00413ABB"/>
    <w:rsid w:val="00415770"/>
    <w:rsid w:val="00415FC6"/>
    <w:rsid w:val="00416528"/>
    <w:rsid w:val="004179EB"/>
    <w:rsid w:val="00417D4C"/>
    <w:rsid w:val="00421292"/>
    <w:rsid w:val="00426711"/>
    <w:rsid w:val="00430270"/>
    <w:rsid w:val="004303BA"/>
    <w:rsid w:val="004310BA"/>
    <w:rsid w:val="00432270"/>
    <w:rsid w:val="00434060"/>
    <w:rsid w:val="00434D32"/>
    <w:rsid w:val="00436E44"/>
    <w:rsid w:val="00437173"/>
    <w:rsid w:val="0044012A"/>
    <w:rsid w:val="00441D52"/>
    <w:rsid w:val="00442312"/>
    <w:rsid w:val="004424DA"/>
    <w:rsid w:val="004432F6"/>
    <w:rsid w:val="004446C5"/>
    <w:rsid w:val="004452B6"/>
    <w:rsid w:val="004469F9"/>
    <w:rsid w:val="00446F85"/>
    <w:rsid w:val="00451586"/>
    <w:rsid w:val="004522B4"/>
    <w:rsid w:val="00452891"/>
    <w:rsid w:val="00452900"/>
    <w:rsid w:val="00452A5B"/>
    <w:rsid w:val="00452CED"/>
    <w:rsid w:val="00453189"/>
    <w:rsid w:val="00454813"/>
    <w:rsid w:val="00456AC9"/>
    <w:rsid w:val="004619D4"/>
    <w:rsid w:val="00461BFF"/>
    <w:rsid w:val="00461DF8"/>
    <w:rsid w:val="0046257E"/>
    <w:rsid w:val="004642C0"/>
    <w:rsid w:val="0046775E"/>
    <w:rsid w:val="004677F7"/>
    <w:rsid w:val="00470D92"/>
    <w:rsid w:val="00472492"/>
    <w:rsid w:val="004746D8"/>
    <w:rsid w:val="00475510"/>
    <w:rsid w:val="0047586E"/>
    <w:rsid w:val="00475D67"/>
    <w:rsid w:val="00477A2F"/>
    <w:rsid w:val="00480E9D"/>
    <w:rsid w:val="00485168"/>
    <w:rsid w:val="004851ED"/>
    <w:rsid w:val="0048588A"/>
    <w:rsid w:val="004859D0"/>
    <w:rsid w:val="00490397"/>
    <w:rsid w:val="00490692"/>
    <w:rsid w:val="00492663"/>
    <w:rsid w:val="00494894"/>
    <w:rsid w:val="004952D7"/>
    <w:rsid w:val="00495F6A"/>
    <w:rsid w:val="00496108"/>
    <w:rsid w:val="00496192"/>
    <w:rsid w:val="00496EAF"/>
    <w:rsid w:val="00497373"/>
    <w:rsid w:val="004A0830"/>
    <w:rsid w:val="004A0E05"/>
    <w:rsid w:val="004A11C7"/>
    <w:rsid w:val="004A18D7"/>
    <w:rsid w:val="004A1B26"/>
    <w:rsid w:val="004A4A80"/>
    <w:rsid w:val="004A5489"/>
    <w:rsid w:val="004B0720"/>
    <w:rsid w:val="004B6616"/>
    <w:rsid w:val="004B7AD5"/>
    <w:rsid w:val="004C0F3F"/>
    <w:rsid w:val="004C17CB"/>
    <w:rsid w:val="004C420E"/>
    <w:rsid w:val="004C73A9"/>
    <w:rsid w:val="004C7929"/>
    <w:rsid w:val="004D0248"/>
    <w:rsid w:val="004D0B47"/>
    <w:rsid w:val="004D0BDF"/>
    <w:rsid w:val="004D2424"/>
    <w:rsid w:val="004D3A0B"/>
    <w:rsid w:val="004D469E"/>
    <w:rsid w:val="004D4B67"/>
    <w:rsid w:val="004D5182"/>
    <w:rsid w:val="004E2A6E"/>
    <w:rsid w:val="004E3405"/>
    <w:rsid w:val="004E3A57"/>
    <w:rsid w:val="004E4BBD"/>
    <w:rsid w:val="004E5018"/>
    <w:rsid w:val="004E5200"/>
    <w:rsid w:val="004E5EFE"/>
    <w:rsid w:val="004E6B64"/>
    <w:rsid w:val="004F064A"/>
    <w:rsid w:val="004F0FD3"/>
    <w:rsid w:val="004F33C5"/>
    <w:rsid w:val="004F3FEB"/>
    <w:rsid w:val="004F5BB4"/>
    <w:rsid w:val="004F6AEC"/>
    <w:rsid w:val="005014CD"/>
    <w:rsid w:val="00501793"/>
    <w:rsid w:val="005028C8"/>
    <w:rsid w:val="00505BFD"/>
    <w:rsid w:val="005074D5"/>
    <w:rsid w:val="00510AA1"/>
    <w:rsid w:val="00511E6F"/>
    <w:rsid w:val="005127CE"/>
    <w:rsid w:val="00512879"/>
    <w:rsid w:val="00513282"/>
    <w:rsid w:val="005158CD"/>
    <w:rsid w:val="005204CB"/>
    <w:rsid w:val="0052211A"/>
    <w:rsid w:val="00522208"/>
    <w:rsid w:val="005240BD"/>
    <w:rsid w:val="00524BCF"/>
    <w:rsid w:val="00524F37"/>
    <w:rsid w:val="00525AEA"/>
    <w:rsid w:val="00525FA8"/>
    <w:rsid w:val="005272D8"/>
    <w:rsid w:val="00530B7D"/>
    <w:rsid w:val="00531EA2"/>
    <w:rsid w:val="00532D90"/>
    <w:rsid w:val="00533D48"/>
    <w:rsid w:val="00534130"/>
    <w:rsid w:val="00534CEA"/>
    <w:rsid w:val="00535A6B"/>
    <w:rsid w:val="0054139F"/>
    <w:rsid w:val="005418F5"/>
    <w:rsid w:val="005419E9"/>
    <w:rsid w:val="00541DC9"/>
    <w:rsid w:val="00542475"/>
    <w:rsid w:val="005440CF"/>
    <w:rsid w:val="00546397"/>
    <w:rsid w:val="00550C9C"/>
    <w:rsid w:val="00551444"/>
    <w:rsid w:val="005516A8"/>
    <w:rsid w:val="005533C4"/>
    <w:rsid w:val="00560786"/>
    <w:rsid w:val="00562598"/>
    <w:rsid w:val="0056268F"/>
    <w:rsid w:val="00565AC5"/>
    <w:rsid w:val="00565C3C"/>
    <w:rsid w:val="00566974"/>
    <w:rsid w:val="005673CC"/>
    <w:rsid w:val="00567623"/>
    <w:rsid w:val="0057085B"/>
    <w:rsid w:val="00570C6B"/>
    <w:rsid w:val="005718F6"/>
    <w:rsid w:val="0057243E"/>
    <w:rsid w:val="00572DF6"/>
    <w:rsid w:val="00573388"/>
    <w:rsid w:val="00573AB6"/>
    <w:rsid w:val="005748A0"/>
    <w:rsid w:val="00577D77"/>
    <w:rsid w:val="00580725"/>
    <w:rsid w:val="005807CD"/>
    <w:rsid w:val="00581465"/>
    <w:rsid w:val="00584471"/>
    <w:rsid w:val="00586657"/>
    <w:rsid w:val="00586FDE"/>
    <w:rsid w:val="00587B6A"/>
    <w:rsid w:val="00587C9B"/>
    <w:rsid w:val="00587F5D"/>
    <w:rsid w:val="00590E5A"/>
    <w:rsid w:val="005940D1"/>
    <w:rsid w:val="00594E34"/>
    <w:rsid w:val="00596B3D"/>
    <w:rsid w:val="005A00F1"/>
    <w:rsid w:val="005A2279"/>
    <w:rsid w:val="005A2BB7"/>
    <w:rsid w:val="005A3A8D"/>
    <w:rsid w:val="005A4ADA"/>
    <w:rsid w:val="005A6F2F"/>
    <w:rsid w:val="005B283E"/>
    <w:rsid w:val="005B3A18"/>
    <w:rsid w:val="005B41AA"/>
    <w:rsid w:val="005B4F61"/>
    <w:rsid w:val="005B57EF"/>
    <w:rsid w:val="005B6DF8"/>
    <w:rsid w:val="005C0524"/>
    <w:rsid w:val="005C087B"/>
    <w:rsid w:val="005C0C5C"/>
    <w:rsid w:val="005C2A99"/>
    <w:rsid w:val="005C5968"/>
    <w:rsid w:val="005C7707"/>
    <w:rsid w:val="005D0BFE"/>
    <w:rsid w:val="005D133C"/>
    <w:rsid w:val="005D14A0"/>
    <w:rsid w:val="005D2F33"/>
    <w:rsid w:val="005D33D4"/>
    <w:rsid w:val="005D5CF2"/>
    <w:rsid w:val="005D7FCA"/>
    <w:rsid w:val="005E1232"/>
    <w:rsid w:val="005E37DA"/>
    <w:rsid w:val="005E40BB"/>
    <w:rsid w:val="005E485F"/>
    <w:rsid w:val="005F0FD7"/>
    <w:rsid w:val="005F2D68"/>
    <w:rsid w:val="005F3758"/>
    <w:rsid w:val="005F71F9"/>
    <w:rsid w:val="006002AA"/>
    <w:rsid w:val="006051D7"/>
    <w:rsid w:val="00611C67"/>
    <w:rsid w:val="0061308C"/>
    <w:rsid w:val="00614076"/>
    <w:rsid w:val="00614368"/>
    <w:rsid w:val="00614E5A"/>
    <w:rsid w:val="00616235"/>
    <w:rsid w:val="0061690D"/>
    <w:rsid w:val="00620244"/>
    <w:rsid w:val="00620B8A"/>
    <w:rsid w:val="006226EB"/>
    <w:rsid w:val="0062275E"/>
    <w:rsid w:val="0062395A"/>
    <w:rsid w:val="00623F97"/>
    <w:rsid w:val="0062499E"/>
    <w:rsid w:val="0062554E"/>
    <w:rsid w:val="00630057"/>
    <w:rsid w:val="00630230"/>
    <w:rsid w:val="00631233"/>
    <w:rsid w:val="0063197E"/>
    <w:rsid w:val="00632DC1"/>
    <w:rsid w:val="00635809"/>
    <w:rsid w:val="00636EB6"/>
    <w:rsid w:val="00637A6B"/>
    <w:rsid w:val="00640B8B"/>
    <w:rsid w:val="00640FE7"/>
    <w:rsid w:val="00643AB4"/>
    <w:rsid w:val="00643E28"/>
    <w:rsid w:val="00643E5C"/>
    <w:rsid w:val="00645153"/>
    <w:rsid w:val="006455B8"/>
    <w:rsid w:val="00645F79"/>
    <w:rsid w:val="00646223"/>
    <w:rsid w:val="006470A6"/>
    <w:rsid w:val="00647993"/>
    <w:rsid w:val="00650191"/>
    <w:rsid w:val="00650304"/>
    <w:rsid w:val="0065103C"/>
    <w:rsid w:val="006529FA"/>
    <w:rsid w:val="006535F8"/>
    <w:rsid w:val="00653B45"/>
    <w:rsid w:val="00657376"/>
    <w:rsid w:val="0066093C"/>
    <w:rsid w:val="00663B7B"/>
    <w:rsid w:val="006640FF"/>
    <w:rsid w:val="00667145"/>
    <w:rsid w:val="006673BB"/>
    <w:rsid w:val="006674A4"/>
    <w:rsid w:val="006707F5"/>
    <w:rsid w:val="00670AD9"/>
    <w:rsid w:val="006713C2"/>
    <w:rsid w:val="00671713"/>
    <w:rsid w:val="00672EDC"/>
    <w:rsid w:val="006735A6"/>
    <w:rsid w:val="00673AE4"/>
    <w:rsid w:val="0067402D"/>
    <w:rsid w:val="006750E2"/>
    <w:rsid w:val="00675E56"/>
    <w:rsid w:val="0067632C"/>
    <w:rsid w:val="006768B0"/>
    <w:rsid w:val="00677934"/>
    <w:rsid w:val="00677A85"/>
    <w:rsid w:val="006805A5"/>
    <w:rsid w:val="00680B51"/>
    <w:rsid w:val="00680E3F"/>
    <w:rsid w:val="006821E3"/>
    <w:rsid w:val="00682E8F"/>
    <w:rsid w:val="00685DB6"/>
    <w:rsid w:val="0069299B"/>
    <w:rsid w:val="00693137"/>
    <w:rsid w:val="00693518"/>
    <w:rsid w:val="00694C51"/>
    <w:rsid w:val="006955E7"/>
    <w:rsid w:val="00695FCF"/>
    <w:rsid w:val="00696965"/>
    <w:rsid w:val="00696DDA"/>
    <w:rsid w:val="006970D5"/>
    <w:rsid w:val="006A013E"/>
    <w:rsid w:val="006A135C"/>
    <w:rsid w:val="006A1639"/>
    <w:rsid w:val="006A4CFB"/>
    <w:rsid w:val="006A71A2"/>
    <w:rsid w:val="006A7AE1"/>
    <w:rsid w:val="006B0DD2"/>
    <w:rsid w:val="006B2505"/>
    <w:rsid w:val="006B4075"/>
    <w:rsid w:val="006B5E7A"/>
    <w:rsid w:val="006B6956"/>
    <w:rsid w:val="006C09E3"/>
    <w:rsid w:val="006C0A34"/>
    <w:rsid w:val="006C0DA3"/>
    <w:rsid w:val="006C3B4B"/>
    <w:rsid w:val="006C41FF"/>
    <w:rsid w:val="006C4E62"/>
    <w:rsid w:val="006C5B37"/>
    <w:rsid w:val="006D1496"/>
    <w:rsid w:val="006D30E8"/>
    <w:rsid w:val="006D502F"/>
    <w:rsid w:val="006D5067"/>
    <w:rsid w:val="006D5713"/>
    <w:rsid w:val="006E1EA3"/>
    <w:rsid w:val="006E265E"/>
    <w:rsid w:val="006E27FD"/>
    <w:rsid w:val="006E2EEA"/>
    <w:rsid w:val="006E4DAD"/>
    <w:rsid w:val="006E5398"/>
    <w:rsid w:val="006E6CC2"/>
    <w:rsid w:val="006E77BB"/>
    <w:rsid w:val="006F5C05"/>
    <w:rsid w:val="006F5E1D"/>
    <w:rsid w:val="006F6ADA"/>
    <w:rsid w:val="006F707F"/>
    <w:rsid w:val="0070382E"/>
    <w:rsid w:val="00703A2E"/>
    <w:rsid w:val="007050A0"/>
    <w:rsid w:val="0070621C"/>
    <w:rsid w:val="00706682"/>
    <w:rsid w:val="00707993"/>
    <w:rsid w:val="0071123A"/>
    <w:rsid w:val="00711E25"/>
    <w:rsid w:val="00711FB5"/>
    <w:rsid w:val="00712AC4"/>
    <w:rsid w:val="00712FB7"/>
    <w:rsid w:val="007138CC"/>
    <w:rsid w:val="00713CA3"/>
    <w:rsid w:val="0071439B"/>
    <w:rsid w:val="0072122E"/>
    <w:rsid w:val="00723B85"/>
    <w:rsid w:val="00725232"/>
    <w:rsid w:val="007254CF"/>
    <w:rsid w:val="007257B8"/>
    <w:rsid w:val="007265A4"/>
    <w:rsid w:val="00727A83"/>
    <w:rsid w:val="00730A03"/>
    <w:rsid w:val="0073174A"/>
    <w:rsid w:val="007333BE"/>
    <w:rsid w:val="007335A8"/>
    <w:rsid w:val="00734EC9"/>
    <w:rsid w:val="00735079"/>
    <w:rsid w:val="0073593C"/>
    <w:rsid w:val="00736A14"/>
    <w:rsid w:val="00737013"/>
    <w:rsid w:val="0073764E"/>
    <w:rsid w:val="00737DDD"/>
    <w:rsid w:val="00747908"/>
    <w:rsid w:val="0075099D"/>
    <w:rsid w:val="00751089"/>
    <w:rsid w:val="00752052"/>
    <w:rsid w:val="00753C3F"/>
    <w:rsid w:val="00754324"/>
    <w:rsid w:val="00754EA3"/>
    <w:rsid w:val="00756B84"/>
    <w:rsid w:val="00757A75"/>
    <w:rsid w:val="00760136"/>
    <w:rsid w:val="00760496"/>
    <w:rsid w:val="0076053B"/>
    <w:rsid w:val="00761553"/>
    <w:rsid w:val="0076189A"/>
    <w:rsid w:val="00763FB0"/>
    <w:rsid w:val="007644E5"/>
    <w:rsid w:val="00765150"/>
    <w:rsid w:val="00766121"/>
    <w:rsid w:val="00770D2D"/>
    <w:rsid w:val="00770D5D"/>
    <w:rsid w:val="00772C0B"/>
    <w:rsid w:val="007738D0"/>
    <w:rsid w:val="00773EC0"/>
    <w:rsid w:val="00774DA4"/>
    <w:rsid w:val="00774E33"/>
    <w:rsid w:val="0077567A"/>
    <w:rsid w:val="00775B12"/>
    <w:rsid w:val="00775DA1"/>
    <w:rsid w:val="00777045"/>
    <w:rsid w:val="00777690"/>
    <w:rsid w:val="007777BD"/>
    <w:rsid w:val="00777FA9"/>
    <w:rsid w:val="00780533"/>
    <w:rsid w:val="00782061"/>
    <w:rsid w:val="00783A0B"/>
    <w:rsid w:val="00783E8C"/>
    <w:rsid w:val="00784DD0"/>
    <w:rsid w:val="00785290"/>
    <w:rsid w:val="007862F7"/>
    <w:rsid w:val="0078737D"/>
    <w:rsid w:val="00790464"/>
    <w:rsid w:val="007912F9"/>
    <w:rsid w:val="00791D81"/>
    <w:rsid w:val="007939B6"/>
    <w:rsid w:val="00793D62"/>
    <w:rsid w:val="0079427C"/>
    <w:rsid w:val="00794F09"/>
    <w:rsid w:val="00795C3B"/>
    <w:rsid w:val="00795D57"/>
    <w:rsid w:val="007964C7"/>
    <w:rsid w:val="007A35B4"/>
    <w:rsid w:val="007A4846"/>
    <w:rsid w:val="007A4969"/>
    <w:rsid w:val="007A603F"/>
    <w:rsid w:val="007A66DF"/>
    <w:rsid w:val="007A6D9A"/>
    <w:rsid w:val="007A6FD9"/>
    <w:rsid w:val="007A7711"/>
    <w:rsid w:val="007A7C15"/>
    <w:rsid w:val="007B01D2"/>
    <w:rsid w:val="007B05F7"/>
    <w:rsid w:val="007B1924"/>
    <w:rsid w:val="007B199A"/>
    <w:rsid w:val="007B1BA6"/>
    <w:rsid w:val="007B48F8"/>
    <w:rsid w:val="007B51E6"/>
    <w:rsid w:val="007B55B5"/>
    <w:rsid w:val="007B5624"/>
    <w:rsid w:val="007C28B7"/>
    <w:rsid w:val="007C3D92"/>
    <w:rsid w:val="007C5420"/>
    <w:rsid w:val="007C582F"/>
    <w:rsid w:val="007C6E19"/>
    <w:rsid w:val="007D1008"/>
    <w:rsid w:val="007D1B67"/>
    <w:rsid w:val="007D2672"/>
    <w:rsid w:val="007D394D"/>
    <w:rsid w:val="007D4B6B"/>
    <w:rsid w:val="007D62DC"/>
    <w:rsid w:val="007D7930"/>
    <w:rsid w:val="007D7CCF"/>
    <w:rsid w:val="007E0965"/>
    <w:rsid w:val="007E2425"/>
    <w:rsid w:val="007E58BF"/>
    <w:rsid w:val="007E728E"/>
    <w:rsid w:val="007E784C"/>
    <w:rsid w:val="007E79F5"/>
    <w:rsid w:val="007F130A"/>
    <w:rsid w:val="007F3D4F"/>
    <w:rsid w:val="007F46C8"/>
    <w:rsid w:val="007F5D18"/>
    <w:rsid w:val="00801420"/>
    <w:rsid w:val="00802069"/>
    <w:rsid w:val="008025DC"/>
    <w:rsid w:val="00802652"/>
    <w:rsid w:val="008027A4"/>
    <w:rsid w:val="00803C62"/>
    <w:rsid w:val="00806EC8"/>
    <w:rsid w:val="00814CE9"/>
    <w:rsid w:val="00815161"/>
    <w:rsid w:val="00815D21"/>
    <w:rsid w:val="00815D37"/>
    <w:rsid w:val="00815D73"/>
    <w:rsid w:val="00816F1F"/>
    <w:rsid w:val="008176D9"/>
    <w:rsid w:val="00820BE1"/>
    <w:rsid w:val="00822919"/>
    <w:rsid w:val="00825BCB"/>
    <w:rsid w:val="00825CE6"/>
    <w:rsid w:val="0082609D"/>
    <w:rsid w:val="008270A6"/>
    <w:rsid w:val="00827BB7"/>
    <w:rsid w:val="008307CF"/>
    <w:rsid w:val="008310C2"/>
    <w:rsid w:val="00831988"/>
    <w:rsid w:val="008319E1"/>
    <w:rsid w:val="00832233"/>
    <w:rsid w:val="00832428"/>
    <w:rsid w:val="00832BDC"/>
    <w:rsid w:val="008335D7"/>
    <w:rsid w:val="0083364D"/>
    <w:rsid w:val="008340F1"/>
    <w:rsid w:val="00834A4A"/>
    <w:rsid w:val="0083539A"/>
    <w:rsid w:val="0083564F"/>
    <w:rsid w:val="008356C6"/>
    <w:rsid w:val="0083673F"/>
    <w:rsid w:val="00837B9C"/>
    <w:rsid w:val="008409F8"/>
    <w:rsid w:val="00844028"/>
    <w:rsid w:val="0084493B"/>
    <w:rsid w:val="00844B59"/>
    <w:rsid w:val="00844F82"/>
    <w:rsid w:val="00845D51"/>
    <w:rsid w:val="008462E6"/>
    <w:rsid w:val="008469EE"/>
    <w:rsid w:val="008513F9"/>
    <w:rsid w:val="008521CA"/>
    <w:rsid w:val="00852876"/>
    <w:rsid w:val="008566B3"/>
    <w:rsid w:val="00856765"/>
    <w:rsid w:val="0085760A"/>
    <w:rsid w:val="008610D3"/>
    <w:rsid w:val="00861853"/>
    <w:rsid w:val="00862746"/>
    <w:rsid w:val="008638C5"/>
    <w:rsid w:val="00864335"/>
    <w:rsid w:val="00867AEB"/>
    <w:rsid w:val="00871FE1"/>
    <w:rsid w:val="00876C2C"/>
    <w:rsid w:val="00876D26"/>
    <w:rsid w:val="008775A4"/>
    <w:rsid w:val="008809B6"/>
    <w:rsid w:val="00881122"/>
    <w:rsid w:val="00881AF4"/>
    <w:rsid w:val="00882B98"/>
    <w:rsid w:val="008834FE"/>
    <w:rsid w:val="00883BC1"/>
    <w:rsid w:val="00884AE7"/>
    <w:rsid w:val="00884CBF"/>
    <w:rsid w:val="00884F48"/>
    <w:rsid w:val="00886263"/>
    <w:rsid w:val="00890070"/>
    <w:rsid w:val="00890405"/>
    <w:rsid w:val="008907F0"/>
    <w:rsid w:val="008920DC"/>
    <w:rsid w:val="008927EE"/>
    <w:rsid w:val="00892826"/>
    <w:rsid w:val="008956D1"/>
    <w:rsid w:val="008957EF"/>
    <w:rsid w:val="00895BB6"/>
    <w:rsid w:val="0089700B"/>
    <w:rsid w:val="008972B2"/>
    <w:rsid w:val="008976A1"/>
    <w:rsid w:val="00897CA1"/>
    <w:rsid w:val="008A0E25"/>
    <w:rsid w:val="008A1766"/>
    <w:rsid w:val="008A1D53"/>
    <w:rsid w:val="008A7A9B"/>
    <w:rsid w:val="008A7CDD"/>
    <w:rsid w:val="008B1750"/>
    <w:rsid w:val="008B2BA7"/>
    <w:rsid w:val="008B3494"/>
    <w:rsid w:val="008B4A35"/>
    <w:rsid w:val="008B5FC3"/>
    <w:rsid w:val="008B60AF"/>
    <w:rsid w:val="008B7022"/>
    <w:rsid w:val="008C0A82"/>
    <w:rsid w:val="008C4980"/>
    <w:rsid w:val="008C5798"/>
    <w:rsid w:val="008D2BDD"/>
    <w:rsid w:val="008D33F8"/>
    <w:rsid w:val="008D4BC6"/>
    <w:rsid w:val="008E190A"/>
    <w:rsid w:val="008E2DB0"/>
    <w:rsid w:val="008E4AD4"/>
    <w:rsid w:val="008E70BF"/>
    <w:rsid w:val="008F1906"/>
    <w:rsid w:val="008F1F12"/>
    <w:rsid w:val="008F2550"/>
    <w:rsid w:val="008F2E54"/>
    <w:rsid w:val="008F43E5"/>
    <w:rsid w:val="008F5A3B"/>
    <w:rsid w:val="008F6975"/>
    <w:rsid w:val="008F72C4"/>
    <w:rsid w:val="00900A5F"/>
    <w:rsid w:val="00902108"/>
    <w:rsid w:val="00902865"/>
    <w:rsid w:val="009030D3"/>
    <w:rsid w:val="00906DD1"/>
    <w:rsid w:val="00911902"/>
    <w:rsid w:val="00916D38"/>
    <w:rsid w:val="009171F5"/>
    <w:rsid w:val="00917BA0"/>
    <w:rsid w:val="00917D94"/>
    <w:rsid w:val="00920E58"/>
    <w:rsid w:val="00921057"/>
    <w:rsid w:val="00921E42"/>
    <w:rsid w:val="009221E2"/>
    <w:rsid w:val="00922ACE"/>
    <w:rsid w:val="00924122"/>
    <w:rsid w:val="009241E0"/>
    <w:rsid w:val="00924D7D"/>
    <w:rsid w:val="00927747"/>
    <w:rsid w:val="00927D6F"/>
    <w:rsid w:val="00930CCE"/>
    <w:rsid w:val="00931A17"/>
    <w:rsid w:val="00934178"/>
    <w:rsid w:val="009353AC"/>
    <w:rsid w:val="009360C0"/>
    <w:rsid w:val="0093639F"/>
    <w:rsid w:val="0093653B"/>
    <w:rsid w:val="00936FF7"/>
    <w:rsid w:val="00937550"/>
    <w:rsid w:val="0094028A"/>
    <w:rsid w:val="0094183B"/>
    <w:rsid w:val="0094398C"/>
    <w:rsid w:val="00944C8D"/>
    <w:rsid w:val="00944E22"/>
    <w:rsid w:val="00947084"/>
    <w:rsid w:val="00947FBD"/>
    <w:rsid w:val="00950F90"/>
    <w:rsid w:val="00953E98"/>
    <w:rsid w:val="00954A08"/>
    <w:rsid w:val="00955403"/>
    <w:rsid w:val="00957526"/>
    <w:rsid w:val="00957C85"/>
    <w:rsid w:val="00957D24"/>
    <w:rsid w:val="009630B4"/>
    <w:rsid w:val="00963735"/>
    <w:rsid w:val="009650B3"/>
    <w:rsid w:val="00965964"/>
    <w:rsid w:val="00967B7A"/>
    <w:rsid w:val="009701EE"/>
    <w:rsid w:val="0097162D"/>
    <w:rsid w:val="009721C4"/>
    <w:rsid w:val="009722DB"/>
    <w:rsid w:val="0097272E"/>
    <w:rsid w:val="00973B94"/>
    <w:rsid w:val="00976F80"/>
    <w:rsid w:val="00977B89"/>
    <w:rsid w:val="009805F2"/>
    <w:rsid w:val="00984C33"/>
    <w:rsid w:val="00984E46"/>
    <w:rsid w:val="00986052"/>
    <w:rsid w:val="00987C74"/>
    <w:rsid w:val="00991B11"/>
    <w:rsid w:val="00991EDB"/>
    <w:rsid w:val="00994D71"/>
    <w:rsid w:val="00996C28"/>
    <w:rsid w:val="00996FA7"/>
    <w:rsid w:val="009977C9"/>
    <w:rsid w:val="009A2117"/>
    <w:rsid w:val="009A2DA3"/>
    <w:rsid w:val="009A37EB"/>
    <w:rsid w:val="009A3ADF"/>
    <w:rsid w:val="009A4477"/>
    <w:rsid w:val="009A662A"/>
    <w:rsid w:val="009A6C03"/>
    <w:rsid w:val="009A7F06"/>
    <w:rsid w:val="009A7F2E"/>
    <w:rsid w:val="009B0C1D"/>
    <w:rsid w:val="009B2E68"/>
    <w:rsid w:val="009B3995"/>
    <w:rsid w:val="009C17E6"/>
    <w:rsid w:val="009C1A22"/>
    <w:rsid w:val="009C2C3C"/>
    <w:rsid w:val="009C4156"/>
    <w:rsid w:val="009C60D3"/>
    <w:rsid w:val="009C6AFA"/>
    <w:rsid w:val="009C7037"/>
    <w:rsid w:val="009C7943"/>
    <w:rsid w:val="009D0D30"/>
    <w:rsid w:val="009D1A5C"/>
    <w:rsid w:val="009D2EAC"/>
    <w:rsid w:val="009D3894"/>
    <w:rsid w:val="009D4F4F"/>
    <w:rsid w:val="009D6E1C"/>
    <w:rsid w:val="009D746D"/>
    <w:rsid w:val="009D75DE"/>
    <w:rsid w:val="009D7945"/>
    <w:rsid w:val="009E30A5"/>
    <w:rsid w:val="009E3CEE"/>
    <w:rsid w:val="009E3EAC"/>
    <w:rsid w:val="009E3F63"/>
    <w:rsid w:val="009E4342"/>
    <w:rsid w:val="009F03B6"/>
    <w:rsid w:val="009F0432"/>
    <w:rsid w:val="009F0ADE"/>
    <w:rsid w:val="009F1FB2"/>
    <w:rsid w:val="009F2842"/>
    <w:rsid w:val="009F2CAA"/>
    <w:rsid w:val="009F691A"/>
    <w:rsid w:val="00A004B0"/>
    <w:rsid w:val="00A03C51"/>
    <w:rsid w:val="00A04007"/>
    <w:rsid w:val="00A04E54"/>
    <w:rsid w:val="00A061EB"/>
    <w:rsid w:val="00A0698F"/>
    <w:rsid w:val="00A113DF"/>
    <w:rsid w:val="00A12E53"/>
    <w:rsid w:val="00A13DFC"/>
    <w:rsid w:val="00A16B16"/>
    <w:rsid w:val="00A17979"/>
    <w:rsid w:val="00A223B1"/>
    <w:rsid w:val="00A23E03"/>
    <w:rsid w:val="00A25176"/>
    <w:rsid w:val="00A269CF"/>
    <w:rsid w:val="00A31C2C"/>
    <w:rsid w:val="00A356B3"/>
    <w:rsid w:val="00A35813"/>
    <w:rsid w:val="00A364A1"/>
    <w:rsid w:val="00A36649"/>
    <w:rsid w:val="00A36D32"/>
    <w:rsid w:val="00A36E5F"/>
    <w:rsid w:val="00A401BC"/>
    <w:rsid w:val="00A40F25"/>
    <w:rsid w:val="00A423A7"/>
    <w:rsid w:val="00A430EB"/>
    <w:rsid w:val="00A44F7D"/>
    <w:rsid w:val="00A54C2F"/>
    <w:rsid w:val="00A60FC8"/>
    <w:rsid w:val="00A61A79"/>
    <w:rsid w:val="00A63606"/>
    <w:rsid w:val="00A64AD2"/>
    <w:rsid w:val="00A64D76"/>
    <w:rsid w:val="00A650B3"/>
    <w:rsid w:val="00A65B9D"/>
    <w:rsid w:val="00A66062"/>
    <w:rsid w:val="00A66317"/>
    <w:rsid w:val="00A66328"/>
    <w:rsid w:val="00A66E9E"/>
    <w:rsid w:val="00A710F1"/>
    <w:rsid w:val="00A71D3F"/>
    <w:rsid w:val="00A71FF1"/>
    <w:rsid w:val="00A7213D"/>
    <w:rsid w:val="00A76386"/>
    <w:rsid w:val="00A7781C"/>
    <w:rsid w:val="00A84F3D"/>
    <w:rsid w:val="00A86DA7"/>
    <w:rsid w:val="00A90AD0"/>
    <w:rsid w:val="00A91DC0"/>
    <w:rsid w:val="00A91E49"/>
    <w:rsid w:val="00A9205A"/>
    <w:rsid w:val="00A926CE"/>
    <w:rsid w:val="00A953B4"/>
    <w:rsid w:val="00AA0FE4"/>
    <w:rsid w:val="00AA10CE"/>
    <w:rsid w:val="00AA2A57"/>
    <w:rsid w:val="00AA2C9B"/>
    <w:rsid w:val="00AA5738"/>
    <w:rsid w:val="00AA5FE0"/>
    <w:rsid w:val="00AA6191"/>
    <w:rsid w:val="00AA65EF"/>
    <w:rsid w:val="00AA787F"/>
    <w:rsid w:val="00AB0FBF"/>
    <w:rsid w:val="00AB3272"/>
    <w:rsid w:val="00AB5A9E"/>
    <w:rsid w:val="00AB5BA1"/>
    <w:rsid w:val="00AB6942"/>
    <w:rsid w:val="00AB7331"/>
    <w:rsid w:val="00AC056B"/>
    <w:rsid w:val="00AC0C82"/>
    <w:rsid w:val="00AC18D7"/>
    <w:rsid w:val="00AC2611"/>
    <w:rsid w:val="00AC2E6A"/>
    <w:rsid w:val="00AC3E12"/>
    <w:rsid w:val="00AC44EB"/>
    <w:rsid w:val="00AD02EC"/>
    <w:rsid w:val="00AD05A6"/>
    <w:rsid w:val="00AD3292"/>
    <w:rsid w:val="00AD388F"/>
    <w:rsid w:val="00AD436F"/>
    <w:rsid w:val="00AD7473"/>
    <w:rsid w:val="00AE0F77"/>
    <w:rsid w:val="00AE1EFF"/>
    <w:rsid w:val="00AE2657"/>
    <w:rsid w:val="00AE4C5E"/>
    <w:rsid w:val="00AE52B8"/>
    <w:rsid w:val="00AE7805"/>
    <w:rsid w:val="00AE7BCB"/>
    <w:rsid w:val="00AE7C72"/>
    <w:rsid w:val="00AF0726"/>
    <w:rsid w:val="00AF1125"/>
    <w:rsid w:val="00AF214C"/>
    <w:rsid w:val="00AF24B2"/>
    <w:rsid w:val="00AF529C"/>
    <w:rsid w:val="00AF5345"/>
    <w:rsid w:val="00AF5B03"/>
    <w:rsid w:val="00AF5EB2"/>
    <w:rsid w:val="00AF60B7"/>
    <w:rsid w:val="00AF751E"/>
    <w:rsid w:val="00AF7F4A"/>
    <w:rsid w:val="00B00632"/>
    <w:rsid w:val="00B01528"/>
    <w:rsid w:val="00B01A0B"/>
    <w:rsid w:val="00B03791"/>
    <w:rsid w:val="00B03F2D"/>
    <w:rsid w:val="00B047F1"/>
    <w:rsid w:val="00B051CC"/>
    <w:rsid w:val="00B05237"/>
    <w:rsid w:val="00B0532A"/>
    <w:rsid w:val="00B17CC3"/>
    <w:rsid w:val="00B17FF8"/>
    <w:rsid w:val="00B20DA5"/>
    <w:rsid w:val="00B22D3D"/>
    <w:rsid w:val="00B235F7"/>
    <w:rsid w:val="00B242B8"/>
    <w:rsid w:val="00B24831"/>
    <w:rsid w:val="00B254D8"/>
    <w:rsid w:val="00B265A5"/>
    <w:rsid w:val="00B30840"/>
    <w:rsid w:val="00B30A72"/>
    <w:rsid w:val="00B30CF7"/>
    <w:rsid w:val="00B30F3E"/>
    <w:rsid w:val="00B3280B"/>
    <w:rsid w:val="00B34570"/>
    <w:rsid w:val="00B34F7E"/>
    <w:rsid w:val="00B35085"/>
    <w:rsid w:val="00B365C9"/>
    <w:rsid w:val="00B3783E"/>
    <w:rsid w:val="00B43BAA"/>
    <w:rsid w:val="00B44A32"/>
    <w:rsid w:val="00B46F5D"/>
    <w:rsid w:val="00B510D1"/>
    <w:rsid w:val="00B516F4"/>
    <w:rsid w:val="00B53695"/>
    <w:rsid w:val="00B552F4"/>
    <w:rsid w:val="00B56122"/>
    <w:rsid w:val="00B6021A"/>
    <w:rsid w:val="00B618FA"/>
    <w:rsid w:val="00B61CD8"/>
    <w:rsid w:val="00B61DDE"/>
    <w:rsid w:val="00B622BA"/>
    <w:rsid w:val="00B62739"/>
    <w:rsid w:val="00B63F07"/>
    <w:rsid w:val="00B64FD7"/>
    <w:rsid w:val="00B65FD9"/>
    <w:rsid w:val="00B6634F"/>
    <w:rsid w:val="00B67FDC"/>
    <w:rsid w:val="00B708CF"/>
    <w:rsid w:val="00B71697"/>
    <w:rsid w:val="00B71781"/>
    <w:rsid w:val="00B7222E"/>
    <w:rsid w:val="00B7336C"/>
    <w:rsid w:val="00B7548C"/>
    <w:rsid w:val="00B76C6A"/>
    <w:rsid w:val="00B77794"/>
    <w:rsid w:val="00B80677"/>
    <w:rsid w:val="00B81FBF"/>
    <w:rsid w:val="00B82437"/>
    <w:rsid w:val="00B829A8"/>
    <w:rsid w:val="00B829B3"/>
    <w:rsid w:val="00B83749"/>
    <w:rsid w:val="00B860BD"/>
    <w:rsid w:val="00B860F7"/>
    <w:rsid w:val="00B86579"/>
    <w:rsid w:val="00B87617"/>
    <w:rsid w:val="00B912EC"/>
    <w:rsid w:val="00B9203C"/>
    <w:rsid w:val="00B92684"/>
    <w:rsid w:val="00B93167"/>
    <w:rsid w:val="00B95065"/>
    <w:rsid w:val="00B957B7"/>
    <w:rsid w:val="00B96704"/>
    <w:rsid w:val="00B96E93"/>
    <w:rsid w:val="00B971AE"/>
    <w:rsid w:val="00B97AE8"/>
    <w:rsid w:val="00BA2289"/>
    <w:rsid w:val="00BA3745"/>
    <w:rsid w:val="00BB01C4"/>
    <w:rsid w:val="00BB1DDF"/>
    <w:rsid w:val="00BB1F05"/>
    <w:rsid w:val="00BB211A"/>
    <w:rsid w:val="00BB4665"/>
    <w:rsid w:val="00BB4A4E"/>
    <w:rsid w:val="00BC1CC8"/>
    <w:rsid w:val="00BC2D7C"/>
    <w:rsid w:val="00BC5B5E"/>
    <w:rsid w:val="00BC6124"/>
    <w:rsid w:val="00BC76D0"/>
    <w:rsid w:val="00BD2C2E"/>
    <w:rsid w:val="00BD3529"/>
    <w:rsid w:val="00BE134F"/>
    <w:rsid w:val="00BE3538"/>
    <w:rsid w:val="00BE4EA8"/>
    <w:rsid w:val="00BE56ED"/>
    <w:rsid w:val="00BE67E4"/>
    <w:rsid w:val="00BE77A5"/>
    <w:rsid w:val="00BF158F"/>
    <w:rsid w:val="00BF1A77"/>
    <w:rsid w:val="00BF1A98"/>
    <w:rsid w:val="00BF2576"/>
    <w:rsid w:val="00BF3F2C"/>
    <w:rsid w:val="00BF5106"/>
    <w:rsid w:val="00BF583E"/>
    <w:rsid w:val="00BF5D19"/>
    <w:rsid w:val="00BF5DF9"/>
    <w:rsid w:val="00C00153"/>
    <w:rsid w:val="00C00321"/>
    <w:rsid w:val="00C0043D"/>
    <w:rsid w:val="00C013C1"/>
    <w:rsid w:val="00C023AC"/>
    <w:rsid w:val="00C024B1"/>
    <w:rsid w:val="00C032E9"/>
    <w:rsid w:val="00C03950"/>
    <w:rsid w:val="00C04E50"/>
    <w:rsid w:val="00C053AA"/>
    <w:rsid w:val="00C05572"/>
    <w:rsid w:val="00C055DB"/>
    <w:rsid w:val="00C10CA2"/>
    <w:rsid w:val="00C10E6A"/>
    <w:rsid w:val="00C1154C"/>
    <w:rsid w:val="00C11CA8"/>
    <w:rsid w:val="00C1279D"/>
    <w:rsid w:val="00C16581"/>
    <w:rsid w:val="00C17B97"/>
    <w:rsid w:val="00C20338"/>
    <w:rsid w:val="00C2114D"/>
    <w:rsid w:val="00C24B34"/>
    <w:rsid w:val="00C24F8E"/>
    <w:rsid w:val="00C276B1"/>
    <w:rsid w:val="00C31091"/>
    <w:rsid w:val="00C32280"/>
    <w:rsid w:val="00C33673"/>
    <w:rsid w:val="00C342E0"/>
    <w:rsid w:val="00C343BD"/>
    <w:rsid w:val="00C3561A"/>
    <w:rsid w:val="00C36730"/>
    <w:rsid w:val="00C3716E"/>
    <w:rsid w:val="00C374D4"/>
    <w:rsid w:val="00C4141D"/>
    <w:rsid w:val="00C45AAA"/>
    <w:rsid w:val="00C46721"/>
    <w:rsid w:val="00C46EC8"/>
    <w:rsid w:val="00C470B7"/>
    <w:rsid w:val="00C47E65"/>
    <w:rsid w:val="00C50096"/>
    <w:rsid w:val="00C52FF7"/>
    <w:rsid w:val="00C536FD"/>
    <w:rsid w:val="00C546FF"/>
    <w:rsid w:val="00C54A1E"/>
    <w:rsid w:val="00C54B84"/>
    <w:rsid w:val="00C54C86"/>
    <w:rsid w:val="00C56178"/>
    <w:rsid w:val="00C56687"/>
    <w:rsid w:val="00C56F97"/>
    <w:rsid w:val="00C577A9"/>
    <w:rsid w:val="00C60D99"/>
    <w:rsid w:val="00C674B4"/>
    <w:rsid w:val="00C6787B"/>
    <w:rsid w:val="00C717FC"/>
    <w:rsid w:val="00C72455"/>
    <w:rsid w:val="00C73546"/>
    <w:rsid w:val="00C74392"/>
    <w:rsid w:val="00C74422"/>
    <w:rsid w:val="00C75948"/>
    <w:rsid w:val="00C76D3F"/>
    <w:rsid w:val="00C80BD3"/>
    <w:rsid w:val="00C8337E"/>
    <w:rsid w:val="00C83CDE"/>
    <w:rsid w:val="00C85EEF"/>
    <w:rsid w:val="00C85FD8"/>
    <w:rsid w:val="00C8624C"/>
    <w:rsid w:val="00C92B2B"/>
    <w:rsid w:val="00C93F32"/>
    <w:rsid w:val="00C94775"/>
    <w:rsid w:val="00C947A9"/>
    <w:rsid w:val="00C94D3F"/>
    <w:rsid w:val="00C95D73"/>
    <w:rsid w:val="00C96A92"/>
    <w:rsid w:val="00C972C8"/>
    <w:rsid w:val="00C97A89"/>
    <w:rsid w:val="00CA492E"/>
    <w:rsid w:val="00CA4C09"/>
    <w:rsid w:val="00CA4FA9"/>
    <w:rsid w:val="00CA6716"/>
    <w:rsid w:val="00CA6DEF"/>
    <w:rsid w:val="00CA74CA"/>
    <w:rsid w:val="00CB09A1"/>
    <w:rsid w:val="00CB146D"/>
    <w:rsid w:val="00CB3F35"/>
    <w:rsid w:val="00CB4D1B"/>
    <w:rsid w:val="00CB79A7"/>
    <w:rsid w:val="00CB7EC5"/>
    <w:rsid w:val="00CC1780"/>
    <w:rsid w:val="00CC3536"/>
    <w:rsid w:val="00CC4A07"/>
    <w:rsid w:val="00CC4E9E"/>
    <w:rsid w:val="00CC4F1D"/>
    <w:rsid w:val="00CC6E1E"/>
    <w:rsid w:val="00CC7338"/>
    <w:rsid w:val="00CC7BDF"/>
    <w:rsid w:val="00CD2317"/>
    <w:rsid w:val="00CD2B0E"/>
    <w:rsid w:val="00CD3D6F"/>
    <w:rsid w:val="00CD4895"/>
    <w:rsid w:val="00CD671E"/>
    <w:rsid w:val="00CD683F"/>
    <w:rsid w:val="00CD6B90"/>
    <w:rsid w:val="00CD6DFA"/>
    <w:rsid w:val="00CD7ACC"/>
    <w:rsid w:val="00CE1E5E"/>
    <w:rsid w:val="00CE202C"/>
    <w:rsid w:val="00CE35C1"/>
    <w:rsid w:val="00CE5CEA"/>
    <w:rsid w:val="00CE6691"/>
    <w:rsid w:val="00CE688C"/>
    <w:rsid w:val="00CE6911"/>
    <w:rsid w:val="00CE71E5"/>
    <w:rsid w:val="00CF1C62"/>
    <w:rsid w:val="00CF2659"/>
    <w:rsid w:val="00CF540D"/>
    <w:rsid w:val="00CF661C"/>
    <w:rsid w:val="00CF6E6C"/>
    <w:rsid w:val="00CF77DC"/>
    <w:rsid w:val="00CF7D0F"/>
    <w:rsid w:val="00D0086F"/>
    <w:rsid w:val="00D01B22"/>
    <w:rsid w:val="00D02682"/>
    <w:rsid w:val="00D03E15"/>
    <w:rsid w:val="00D04C48"/>
    <w:rsid w:val="00D05C60"/>
    <w:rsid w:val="00D069EF"/>
    <w:rsid w:val="00D06F63"/>
    <w:rsid w:val="00D07DF0"/>
    <w:rsid w:val="00D13147"/>
    <w:rsid w:val="00D14818"/>
    <w:rsid w:val="00D15111"/>
    <w:rsid w:val="00D167ED"/>
    <w:rsid w:val="00D20341"/>
    <w:rsid w:val="00D204CD"/>
    <w:rsid w:val="00D2134B"/>
    <w:rsid w:val="00D21751"/>
    <w:rsid w:val="00D21F6E"/>
    <w:rsid w:val="00D22CFE"/>
    <w:rsid w:val="00D23A72"/>
    <w:rsid w:val="00D23AB2"/>
    <w:rsid w:val="00D25135"/>
    <w:rsid w:val="00D258D8"/>
    <w:rsid w:val="00D26331"/>
    <w:rsid w:val="00D2652D"/>
    <w:rsid w:val="00D27104"/>
    <w:rsid w:val="00D301D2"/>
    <w:rsid w:val="00D30CEF"/>
    <w:rsid w:val="00D31C1B"/>
    <w:rsid w:val="00D33A1A"/>
    <w:rsid w:val="00D353A8"/>
    <w:rsid w:val="00D37BBE"/>
    <w:rsid w:val="00D40E17"/>
    <w:rsid w:val="00D42242"/>
    <w:rsid w:val="00D43662"/>
    <w:rsid w:val="00D45208"/>
    <w:rsid w:val="00D45568"/>
    <w:rsid w:val="00D51C6E"/>
    <w:rsid w:val="00D51D87"/>
    <w:rsid w:val="00D52DAF"/>
    <w:rsid w:val="00D53CE2"/>
    <w:rsid w:val="00D543F3"/>
    <w:rsid w:val="00D609E5"/>
    <w:rsid w:val="00D636FC"/>
    <w:rsid w:val="00D651BC"/>
    <w:rsid w:val="00D66971"/>
    <w:rsid w:val="00D67E83"/>
    <w:rsid w:val="00D708B7"/>
    <w:rsid w:val="00D71896"/>
    <w:rsid w:val="00D755A7"/>
    <w:rsid w:val="00D75ECC"/>
    <w:rsid w:val="00D77B37"/>
    <w:rsid w:val="00D80173"/>
    <w:rsid w:val="00D80B32"/>
    <w:rsid w:val="00D81357"/>
    <w:rsid w:val="00D81D4D"/>
    <w:rsid w:val="00D823A9"/>
    <w:rsid w:val="00D83FB6"/>
    <w:rsid w:val="00D90217"/>
    <w:rsid w:val="00D9048E"/>
    <w:rsid w:val="00D91F7D"/>
    <w:rsid w:val="00D92A5F"/>
    <w:rsid w:val="00D95224"/>
    <w:rsid w:val="00D95989"/>
    <w:rsid w:val="00D96184"/>
    <w:rsid w:val="00D96C89"/>
    <w:rsid w:val="00D97320"/>
    <w:rsid w:val="00DA1D51"/>
    <w:rsid w:val="00DA52E8"/>
    <w:rsid w:val="00DA6836"/>
    <w:rsid w:val="00DA6C57"/>
    <w:rsid w:val="00DA6FA6"/>
    <w:rsid w:val="00DB4817"/>
    <w:rsid w:val="00DB4CF9"/>
    <w:rsid w:val="00DC2A0C"/>
    <w:rsid w:val="00DC54A4"/>
    <w:rsid w:val="00DD2C65"/>
    <w:rsid w:val="00DD491D"/>
    <w:rsid w:val="00DD593A"/>
    <w:rsid w:val="00DD7BB6"/>
    <w:rsid w:val="00DE1FE9"/>
    <w:rsid w:val="00DE23F2"/>
    <w:rsid w:val="00DE3558"/>
    <w:rsid w:val="00DE4B32"/>
    <w:rsid w:val="00DE5012"/>
    <w:rsid w:val="00DE591C"/>
    <w:rsid w:val="00DE68E0"/>
    <w:rsid w:val="00DE6AEA"/>
    <w:rsid w:val="00DF20F8"/>
    <w:rsid w:val="00DF274C"/>
    <w:rsid w:val="00DF2811"/>
    <w:rsid w:val="00DF2AF5"/>
    <w:rsid w:val="00DF3C21"/>
    <w:rsid w:val="00DF42DB"/>
    <w:rsid w:val="00DF6487"/>
    <w:rsid w:val="00DF6901"/>
    <w:rsid w:val="00E0010B"/>
    <w:rsid w:val="00E00E5A"/>
    <w:rsid w:val="00E0144B"/>
    <w:rsid w:val="00E01976"/>
    <w:rsid w:val="00E0203D"/>
    <w:rsid w:val="00E03AF1"/>
    <w:rsid w:val="00E03F63"/>
    <w:rsid w:val="00E04BEC"/>
    <w:rsid w:val="00E06001"/>
    <w:rsid w:val="00E102BB"/>
    <w:rsid w:val="00E118ED"/>
    <w:rsid w:val="00E126E0"/>
    <w:rsid w:val="00E1351B"/>
    <w:rsid w:val="00E13656"/>
    <w:rsid w:val="00E1642A"/>
    <w:rsid w:val="00E1655E"/>
    <w:rsid w:val="00E17D68"/>
    <w:rsid w:val="00E21DED"/>
    <w:rsid w:val="00E22F11"/>
    <w:rsid w:val="00E2554C"/>
    <w:rsid w:val="00E25D31"/>
    <w:rsid w:val="00E25FA6"/>
    <w:rsid w:val="00E263F2"/>
    <w:rsid w:val="00E27E4C"/>
    <w:rsid w:val="00E301EE"/>
    <w:rsid w:val="00E30818"/>
    <w:rsid w:val="00E318B5"/>
    <w:rsid w:val="00E32E47"/>
    <w:rsid w:val="00E33DBD"/>
    <w:rsid w:val="00E34AAD"/>
    <w:rsid w:val="00E34C91"/>
    <w:rsid w:val="00E356CB"/>
    <w:rsid w:val="00E364D8"/>
    <w:rsid w:val="00E36BE2"/>
    <w:rsid w:val="00E3755B"/>
    <w:rsid w:val="00E37CC9"/>
    <w:rsid w:val="00E42270"/>
    <w:rsid w:val="00E43930"/>
    <w:rsid w:val="00E44E3C"/>
    <w:rsid w:val="00E45CD7"/>
    <w:rsid w:val="00E46DBD"/>
    <w:rsid w:val="00E4759B"/>
    <w:rsid w:val="00E50B8E"/>
    <w:rsid w:val="00E50FBC"/>
    <w:rsid w:val="00E52BE0"/>
    <w:rsid w:val="00E544CF"/>
    <w:rsid w:val="00E5485A"/>
    <w:rsid w:val="00E562B4"/>
    <w:rsid w:val="00E568E1"/>
    <w:rsid w:val="00E56CE6"/>
    <w:rsid w:val="00E574FC"/>
    <w:rsid w:val="00E60629"/>
    <w:rsid w:val="00E60695"/>
    <w:rsid w:val="00E61043"/>
    <w:rsid w:val="00E61CF3"/>
    <w:rsid w:val="00E61E4D"/>
    <w:rsid w:val="00E63E75"/>
    <w:rsid w:val="00E6515F"/>
    <w:rsid w:val="00E65AAE"/>
    <w:rsid w:val="00E65BF2"/>
    <w:rsid w:val="00E672C7"/>
    <w:rsid w:val="00E674FB"/>
    <w:rsid w:val="00E70586"/>
    <w:rsid w:val="00E73406"/>
    <w:rsid w:val="00E75B91"/>
    <w:rsid w:val="00E7625C"/>
    <w:rsid w:val="00E76BC5"/>
    <w:rsid w:val="00E7781F"/>
    <w:rsid w:val="00E810FE"/>
    <w:rsid w:val="00E824FD"/>
    <w:rsid w:val="00E83879"/>
    <w:rsid w:val="00E8596C"/>
    <w:rsid w:val="00E8644B"/>
    <w:rsid w:val="00E864A9"/>
    <w:rsid w:val="00E865C0"/>
    <w:rsid w:val="00E87B01"/>
    <w:rsid w:val="00E900AF"/>
    <w:rsid w:val="00E91CC1"/>
    <w:rsid w:val="00E93FCD"/>
    <w:rsid w:val="00E94FC2"/>
    <w:rsid w:val="00E95C92"/>
    <w:rsid w:val="00E97CC8"/>
    <w:rsid w:val="00EA3C71"/>
    <w:rsid w:val="00EA50DE"/>
    <w:rsid w:val="00EA5DD7"/>
    <w:rsid w:val="00EA61A2"/>
    <w:rsid w:val="00EB0134"/>
    <w:rsid w:val="00EB116F"/>
    <w:rsid w:val="00EB14C9"/>
    <w:rsid w:val="00EB1CAB"/>
    <w:rsid w:val="00EB1D29"/>
    <w:rsid w:val="00EB20D1"/>
    <w:rsid w:val="00EB2C5F"/>
    <w:rsid w:val="00EB2CB1"/>
    <w:rsid w:val="00EB33E2"/>
    <w:rsid w:val="00EB403E"/>
    <w:rsid w:val="00EB5AFB"/>
    <w:rsid w:val="00EB7589"/>
    <w:rsid w:val="00EC1E91"/>
    <w:rsid w:val="00EC3A18"/>
    <w:rsid w:val="00EC5217"/>
    <w:rsid w:val="00EC55CB"/>
    <w:rsid w:val="00EC5C09"/>
    <w:rsid w:val="00ED073D"/>
    <w:rsid w:val="00ED0CFD"/>
    <w:rsid w:val="00ED0ED7"/>
    <w:rsid w:val="00ED26C2"/>
    <w:rsid w:val="00ED28E0"/>
    <w:rsid w:val="00ED7EDF"/>
    <w:rsid w:val="00EE0DDE"/>
    <w:rsid w:val="00EE298B"/>
    <w:rsid w:val="00EE47A2"/>
    <w:rsid w:val="00EE622A"/>
    <w:rsid w:val="00EE6DB9"/>
    <w:rsid w:val="00EF21E1"/>
    <w:rsid w:val="00EF462D"/>
    <w:rsid w:val="00EF4908"/>
    <w:rsid w:val="00EF5B96"/>
    <w:rsid w:val="00EF67C4"/>
    <w:rsid w:val="00EF6C78"/>
    <w:rsid w:val="00F00618"/>
    <w:rsid w:val="00F00669"/>
    <w:rsid w:val="00F018B7"/>
    <w:rsid w:val="00F01ED5"/>
    <w:rsid w:val="00F06C54"/>
    <w:rsid w:val="00F1028E"/>
    <w:rsid w:val="00F11047"/>
    <w:rsid w:val="00F11576"/>
    <w:rsid w:val="00F115AA"/>
    <w:rsid w:val="00F117D2"/>
    <w:rsid w:val="00F12BB1"/>
    <w:rsid w:val="00F12BCE"/>
    <w:rsid w:val="00F13D85"/>
    <w:rsid w:val="00F16B41"/>
    <w:rsid w:val="00F171ED"/>
    <w:rsid w:val="00F17700"/>
    <w:rsid w:val="00F214DB"/>
    <w:rsid w:val="00F22502"/>
    <w:rsid w:val="00F23466"/>
    <w:rsid w:val="00F2429D"/>
    <w:rsid w:val="00F24571"/>
    <w:rsid w:val="00F245C8"/>
    <w:rsid w:val="00F275D7"/>
    <w:rsid w:val="00F27B66"/>
    <w:rsid w:val="00F306A2"/>
    <w:rsid w:val="00F320EE"/>
    <w:rsid w:val="00F32CFE"/>
    <w:rsid w:val="00F33B5B"/>
    <w:rsid w:val="00F36DEA"/>
    <w:rsid w:val="00F400FA"/>
    <w:rsid w:val="00F4050E"/>
    <w:rsid w:val="00F4071A"/>
    <w:rsid w:val="00F416C6"/>
    <w:rsid w:val="00F4217C"/>
    <w:rsid w:val="00F4406F"/>
    <w:rsid w:val="00F46D61"/>
    <w:rsid w:val="00F47905"/>
    <w:rsid w:val="00F5033A"/>
    <w:rsid w:val="00F5105D"/>
    <w:rsid w:val="00F520A4"/>
    <w:rsid w:val="00F557E9"/>
    <w:rsid w:val="00F57E33"/>
    <w:rsid w:val="00F61E47"/>
    <w:rsid w:val="00F61E7A"/>
    <w:rsid w:val="00F6436F"/>
    <w:rsid w:val="00F6596E"/>
    <w:rsid w:val="00F6679F"/>
    <w:rsid w:val="00F67CAA"/>
    <w:rsid w:val="00F71E30"/>
    <w:rsid w:val="00F71EC0"/>
    <w:rsid w:val="00F72F47"/>
    <w:rsid w:val="00F81CAF"/>
    <w:rsid w:val="00F82346"/>
    <w:rsid w:val="00F82796"/>
    <w:rsid w:val="00F83A61"/>
    <w:rsid w:val="00F86243"/>
    <w:rsid w:val="00F8782A"/>
    <w:rsid w:val="00F87942"/>
    <w:rsid w:val="00F90CCE"/>
    <w:rsid w:val="00F9162E"/>
    <w:rsid w:val="00F929D1"/>
    <w:rsid w:val="00F948AD"/>
    <w:rsid w:val="00F9748F"/>
    <w:rsid w:val="00F979A8"/>
    <w:rsid w:val="00F97E31"/>
    <w:rsid w:val="00FA028D"/>
    <w:rsid w:val="00FA078D"/>
    <w:rsid w:val="00FA1442"/>
    <w:rsid w:val="00FA1696"/>
    <w:rsid w:val="00FA1D06"/>
    <w:rsid w:val="00FA4086"/>
    <w:rsid w:val="00FA68F1"/>
    <w:rsid w:val="00FA6B98"/>
    <w:rsid w:val="00FA6CD2"/>
    <w:rsid w:val="00FB028A"/>
    <w:rsid w:val="00FB18B5"/>
    <w:rsid w:val="00FB1C7E"/>
    <w:rsid w:val="00FB3E48"/>
    <w:rsid w:val="00FB41F7"/>
    <w:rsid w:val="00FB4811"/>
    <w:rsid w:val="00FB5FD1"/>
    <w:rsid w:val="00FB6E64"/>
    <w:rsid w:val="00FC01D2"/>
    <w:rsid w:val="00FC094C"/>
    <w:rsid w:val="00FC1338"/>
    <w:rsid w:val="00FC183E"/>
    <w:rsid w:val="00FC3BAE"/>
    <w:rsid w:val="00FC4419"/>
    <w:rsid w:val="00FC4E8E"/>
    <w:rsid w:val="00FC6102"/>
    <w:rsid w:val="00FC7004"/>
    <w:rsid w:val="00FC7166"/>
    <w:rsid w:val="00FC7D26"/>
    <w:rsid w:val="00FD06B6"/>
    <w:rsid w:val="00FD1399"/>
    <w:rsid w:val="00FD146A"/>
    <w:rsid w:val="00FD1594"/>
    <w:rsid w:val="00FD1B57"/>
    <w:rsid w:val="00FD1DDA"/>
    <w:rsid w:val="00FD45BD"/>
    <w:rsid w:val="00FD47E8"/>
    <w:rsid w:val="00FD4B4C"/>
    <w:rsid w:val="00FD63E4"/>
    <w:rsid w:val="00FD710E"/>
    <w:rsid w:val="00FE00CB"/>
    <w:rsid w:val="00FE09E6"/>
    <w:rsid w:val="00FE24BA"/>
    <w:rsid w:val="00FE277E"/>
    <w:rsid w:val="00FE38BE"/>
    <w:rsid w:val="00FE5B99"/>
    <w:rsid w:val="00FE63F6"/>
    <w:rsid w:val="00FE7C89"/>
    <w:rsid w:val="00FF4296"/>
    <w:rsid w:val="00FF4DD0"/>
    <w:rsid w:val="00FF5229"/>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4E2EF"/>
  <w15:docId w15:val="{0F37ABE2-4DF4-4957-BAA1-B8125A82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3D85"/>
  </w:style>
  <w:style w:type="paragraph" w:styleId="Titolo1">
    <w:name w:val="heading 1"/>
    <w:basedOn w:val="Normale"/>
    <w:next w:val="Normale"/>
    <w:link w:val="Titolo1Carattere"/>
    <w:uiPriority w:val="9"/>
    <w:qFormat/>
    <w:rsid w:val="0049266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303BA"/>
    <w:rPr>
      <w:color w:val="800080" w:themeColor="followedHyperlink"/>
      <w:u w:val="single"/>
    </w:rPr>
  </w:style>
  <w:style w:type="character" w:styleId="Rimandonotaapidipagina">
    <w:name w:val="footnote reference"/>
    <w:uiPriority w:val="99"/>
    <w:semiHidden/>
    <w:rsid w:val="008F43E5"/>
    <w:rPr>
      <w:vertAlign w:val="superscript"/>
    </w:rPr>
  </w:style>
  <w:style w:type="paragraph" w:styleId="Testonotaapidipagina">
    <w:name w:val="footnote text"/>
    <w:basedOn w:val="Normale"/>
    <w:link w:val="TestonotaapidipaginaCarattere"/>
    <w:uiPriority w:val="99"/>
    <w:rsid w:val="008F43E5"/>
    <w:rPr>
      <w:rFonts w:eastAsiaTheme="minorEastAsia"/>
      <w:lang w:val="en-US" w:eastAsia="zh-CN"/>
    </w:rPr>
  </w:style>
  <w:style w:type="character" w:customStyle="1" w:styleId="TestonotaapidipaginaCarattere">
    <w:name w:val="Testo nota a piè di pagina Carattere"/>
    <w:basedOn w:val="Carpredefinitoparagrafo"/>
    <w:link w:val="Testonotaapidipagina"/>
    <w:uiPriority w:val="99"/>
    <w:rsid w:val="008F43E5"/>
    <w:rPr>
      <w:rFonts w:eastAsiaTheme="minorEastAsia"/>
      <w:lang w:val="en-US" w:eastAsia="zh-CN"/>
    </w:rPr>
  </w:style>
  <w:style w:type="paragraph" w:styleId="Testonormale">
    <w:name w:val="Plain Text"/>
    <w:basedOn w:val="Normale"/>
    <w:link w:val="TestonormaleCarattere"/>
    <w:uiPriority w:val="99"/>
    <w:unhideWhenUsed/>
    <w:rsid w:val="00151D12"/>
    <w:pPr>
      <w:spacing w:after="0" w:line="240" w:lineRule="auto"/>
    </w:pPr>
    <w:rPr>
      <w:rFonts w:ascii="Calibri" w:hAnsi="Calibri"/>
      <w:color w:val="1F497D" w:themeColor="text2"/>
      <w:szCs w:val="21"/>
    </w:rPr>
  </w:style>
  <w:style w:type="character" w:customStyle="1" w:styleId="TestonormaleCarattere">
    <w:name w:val="Testo normale Carattere"/>
    <w:basedOn w:val="Carpredefinitoparagrafo"/>
    <w:link w:val="Testonormale"/>
    <w:uiPriority w:val="99"/>
    <w:rsid w:val="00151D12"/>
    <w:rPr>
      <w:rFonts w:ascii="Calibri" w:hAnsi="Calibri"/>
      <w:color w:val="1F497D" w:themeColor="text2"/>
      <w:szCs w:val="21"/>
    </w:rPr>
  </w:style>
  <w:style w:type="character" w:customStyle="1" w:styleId="Titolo1Carattere">
    <w:name w:val="Titolo 1 Carattere"/>
    <w:basedOn w:val="Carpredefinitoparagrafo"/>
    <w:link w:val="Titolo1"/>
    <w:uiPriority w:val="9"/>
    <w:rsid w:val="00492663"/>
    <w:rPr>
      <w:rFonts w:asciiTheme="majorHAnsi" w:eastAsiaTheme="majorEastAsia" w:hAnsiTheme="majorHAnsi" w:cstheme="majorBidi"/>
      <w:b/>
      <w:bCs/>
      <w:color w:val="365F91" w:themeColor="accent1" w:themeShade="BF"/>
      <w:sz w:val="28"/>
      <w:szCs w:val="28"/>
      <w:lang w:val="en-US" w:eastAsia="zh-CN"/>
    </w:rPr>
  </w:style>
  <w:style w:type="paragraph" w:styleId="Intestazione">
    <w:name w:val="header"/>
    <w:basedOn w:val="Normale"/>
    <w:link w:val="IntestazioneCarattere"/>
    <w:uiPriority w:val="99"/>
    <w:unhideWhenUsed/>
    <w:rsid w:val="000F2A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AE1"/>
  </w:style>
  <w:style w:type="paragraph" w:styleId="Pidipagina">
    <w:name w:val="footer"/>
    <w:basedOn w:val="Normale"/>
    <w:link w:val="PidipaginaCarattere"/>
    <w:uiPriority w:val="99"/>
    <w:unhideWhenUsed/>
    <w:rsid w:val="000F2A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AE1"/>
  </w:style>
  <w:style w:type="character" w:customStyle="1" w:styleId="Menzionenonrisolta1">
    <w:name w:val="Menzione non risolta1"/>
    <w:basedOn w:val="Carpredefinitoparagrafo"/>
    <w:uiPriority w:val="99"/>
    <w:semiHidden/>
    <w:unhideWhenUsed/>
    <w:rsid w:val="009D75DE"/>
    <w:rPr>
      <w:color w:val="605E5C"/>
      <w:shd w:val="clear" w:color="auto" w:fill="E1DFDD"/>
    </w:rPr>
  </w:style>
  <w:style w:type="character" w:styleId="Enfasigrassetto">
    <w:name w:val="Strong"/>
    <w:basedOn w:val="Carpredefinitoparagrafo"/>
    <w:uiPriority w:val="22"/>
    <w:qFormat/>
    <w:rsid w:val="00C470B7"/>
    <w:rPr>
      <w:b/>
      <w:bCs/>
    </w:rPr>
  </w:style>
  <w:style w:type="character" w:customStyle="1" w:styleId="Menzionenonrisolta2">
    <w:name w:val="Menzione non risolta2"/>
    <w:basedOn w:val="Carpredefinitoparagrafo"/>
    <w:uiPriority w:val="99"/>
    <w:semiHidden/>
    <w:unhideWhenUsed/>
    <w:rsid w:val="006750E2"/>
    <w:rPr>
      <w:color w:val="605E5C"/>
      <w:shd w:val="clear" w:color="auto" w:fill="E1DFDD"/>
    </w:rPr>
  </w:style>
  <w:style w:type="character" w:customStyle="1" w:styleId="Menzionenonrisolta3">
    <w:name w:val="Menzione non risolta3"/>
    <w:basedOn w:val="Carpredefinitoparagrafo"/>
    <w:uiPriority w:val="99"/>
    <w:semiHidden/>
    <w:unhideWhenUsed/>
    <w:rsid w:val="00892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01210">
      <w:bodyDiv w:val="1"/>
      <w:marLeft w:val="0"/>
      <w:marRight w:val="0"/>
      <w:marTop w:val="0"/>
      <w:marBottom w:val="0"/>
      <w:divBdr>
        <w:top w:val="none" w:sz="0" w:space="0" w:color="auto"/>
        <w:left w:val="none" w:sz="0" w:space="0" w:color="auto"/>
        <w:bottom w:val="none" w:sz="0" w:space="0" w:color="auto"/>
        <w:right w:val="none" w:sz="0" w:space="0" w:color="auto"/>
      </w:divBdr>
    </w:div>
    <w:div w:id="442649804">
      <w:bodyDiv w:val="1"/>
      <w:marLeft w:val="0"/>
      <w:marRight w:val="0"/>
      <w:marTop w:val="0"/>
      <w:marBottom w:val="0"/>
      <w:divBdr>
        <w:top w:val="none" w:sz="0" w:space="0" w:color="auto"/>
        <w:left w:val="none" w:sz="0" w:space="0" w:color="auto"/>
        <w:bottom w:val="none" w:sz="0" w:space="0" w:color="auto"/>
        <w:right w:val="none" w:sz="0" w:space="0" w:color="auto"/>
      </w:divBdr>
    </w:div>
    <w:div w:id="693924277">
      <w:bodyDiv w:val="1"/>
      <w:marLeft w:val="0"/>
      <w:marRight w:val="0"/>
      <w:marTop w:val="0"/>
      <w:marBottom w:val="0"/>
      <w:divBdr>
        <w:top w:val="none" w:sz="0" w:space="0" w:color="auto"/>
        <w:left w:val="none" w:sz="0" w:space="0" w:color="auto"/>
        <w:bottom w:val="none" w:sz="0" w:space="0" w:color="auto"/>
        <w:right w:val="none" w:sz="0" w:space="0" w:color="auto"/>
      </w:divBdr>
    </w:div>
    <w:div w:id="886139636">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22504">
      <w:bodyDiv w:val="1"/>
      <w:marLeft w:val="0"/>
      <w:marRight w:val="0"/>
      <w:marTop w:val="0"/>
      <w:marBottom w:val="0"/>
      <w:divBdr>
        <w:top w:val="none" w:sz="0" w:space="0" w:color="auto"/>
        <w:left w:val="none" w:sz="0" w:space="0" w:color="auto"/>
        <w:bottom w:val="none" w:sz="0" w:space="0" w:color="auto"/>
        <w:right w:val="none" w:sz="0" w:space="0" w:color="auto"/>
      </w:divBdr>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viamo-ssn.it/6-rapporto"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ufficio.stampa@gimbe.org"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salviamo-ssn.it/6-rapporto"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674F-C46C-43C8-BE75-0136CFE0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3379</Words>
  <Characters>19263</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dc:creator>
  <cp:lastModifiedBy>Roberto Luceri</cp:lastModifiedBy>
  <cp:revision>6</cp:revision>
  <cp:lastPrinted>2014-01-27T14:53:00Z</cp:lastPrinted>
  <dcterms:created xsi:type="dcterms:W3CDTF">2023-10-09T13:09:00Z</dcterms:created>
  <dcterms:modified xsi:type="dcterms:W3CDTF">2023-10-12T09:08:00Z</dcterms:modified>
</cp:coreProperties>
</file>